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094D">
      <w:pPr>
        <w:pStyle w:val="2"/>
        <w:numPr>
          <w:numId w:val="0"/>
        </w:numPr>
        <w:tabs>
          <w:tab w:val="left" w:pos="1008"/>
          <w:tab w:val="clear" w:pos="709"/>
        </w:tabs>
        <w:ind w:left="420" w:leftChars="0"/>
        <w:jc w:val="center"/>
        <w:rPr>
          <w:sz w:val="32"/>
          <w:szCs w:val="32"/>
        </w:rPr>
      </w:pPr>
      <w:bookmarkStart w:id="0" w:name="_Toc9353"/>
      <w:r>
        <w:rPr>
          <w:rFonts w:hint="eastAsia"/>
          <w:sz w:val="32"/>
          <w:szCs w:val="32"/>
          <w:lang w:val="en-US" w:eastAsia="zh-CN"/>
        </w:rPr>
        <w:t>信息系统</w:t>
      </w:r>
      <w:r>
        <w:rPr>
          <w:rFonts w:hint="eastAsia"/>
          <w:sz w:val="32"/>
          <w:szCs w:val="32"/>
        </w:rPr>
        <w:t>信息安全保护等级</w:t>
      </w:r>
      <w:r>
        <w:rPr>
          <w:rFonts w:hint="eastAsia"/>
          <w:sz w:val="32"/>
          <w:szCs w:val="32"/>
          <w:lang w:val="en-US" w:eastAsia="zh-CN"/>
        </w:rPr>
        <w:t>第三级</w:t>
      </w:r>
      <w:r>
        <w:rPr>
          <w:rFonts w:hint="eastAsia"/>
          <w:sz w:val="32"/>
          <w:szCs w:val="32"/>
        </w:rPr>
        <w:t>建设思路</w:t>
      </w:r>
      <w:bookmarkEnd w:id="0"/>
    </w:p>
    <w:p w14:paraId="70C525AF">
      <w:pPr>
        <w:pStyle w:val="8"/>
        <w:ind w:firstLine="480"/>
        <w:rPr>
          <w:rFonts w:hAnsi="宋体"/>
          <w:szCs w:val="24"/>
        </w:rPr>
      </w:pPr>
      <w:r>
        <w:rPr>
          <w:rFonts w:hint="eastAsia"/>
        </w:rPr>
        <w:t>根据国</w:t>
      </w:r>
      <w:r>
        <w:t>家网</w:t>
      </w:r>
      <w:r>
        <w:rPr>
          <w:rFonts w:hint="eastAsia"/>
        </w:rPr>
        <w:t>络</w:t>
      </w:r>
      <w:r>
        <w:t>安全</w:t>
      </w:r>
      <w:r>
        <w:rPr>
          <w:rFonts w:hint="eastAsia"/>
        </w:rPr>
        <w:t>保护法以及国标</w:t>
      </w:r>
      <w:r>
        <w:rPr>
          <w:rFonts w:hint="eastAsia"/>
          <w:lang w:val="en-US"/>
        </w:rPr>
        <w:t>《信息安全技术网络安全等级保护基本要求》（</w:t>
      </w:r>
      <w:r>
        <w:rPr>
          <w:lang w:val="en-US"/>
        </w:rPr>
        <w:t>GBT22239-2019）</w:t>
      </w:r>
      <w:r>
        <w:rPr>
          <w:rFonts w:hint="eastAsia"/>
          <w:lang w:val="en-US"/>
        </w:rPr>
        <w:t>的</w:t>
      </w:r>
      <w:r>
        <w:rPr>
          <w:rFonts w:hint="eastAsia"/>
        </w:rPr>
        <w:t>要求，结合</w:t>
      </w:r>
      <w:r>
        <w:t>业务安全需求特点</w:t>
      </w:r>
      <w:r>
        <w:rPr>
          <w:rFonts w:hint="eastAsia"/>
        </w:rPr>
        <w:t>，</w:t>
      </w:r>
      <w:r>
        <w:t>遵循适度安全为核心，</w:t>
      </w:r>
      <w:r>
        <w:rPr>
          <w:rFonts w:hint="eastAsia"/>
        </w:rPr>
        <w:t>重点保护保障</w:t>
      </w:r>
      <w:r>
        <w:t>关键业务</w:t>
      </w:r>
      <w:r>
        <w:rPr>
          <w:rFonts w:hint="eastAsia"/>
        </w:rPr>
        <w:t>，</w:t>
      </w:r>
      <w:r>
        <w:t>以技术、管理、服务并重、</w:t>
      </w:r>
      <w:r>
        <w:rPr>
          <w:rFonts w:hint="eastAsia"/>
        </w:rPr>
        <w:t>标准化</w:t>
      </w:r>
      <w:r>
        <w:t>和成熟性</w:t>
      </w:r>
      <w:r>
        <w:rPr>
          <w:rFonts w:hint="eastAsia"/>
        </w:rPr>
        <w:t>为</w:t>
      </w:r>
      <w:r>
        <w:t>原则</w:t>
      </w:r>
      <w:r>
        <w:rPr>
          <w:rFonts w:hint="eastAsia"/>
        </w:rPr>
        <w:t>，从多个层面进行建设，构建</w:t>
      </w:r>
      <w:r>
        <w:t>以安全管理体系和安全技术体系</w:t>
      </w:r>
      <w:r>
        <w:rPr>
          <w:rFonts w:hint="eastAsia"/>
        </w:rPr>
        <w:t>为支撑的</w:t>
      </w:r>
      <w:r>
        <w:t>信息安全体系</w:t>
      </w:r>
      <w:r>
        <w:rPr>
          <w:rFonts w:hint="eastAsia"/>
        </w:rPr>
        <w:t>，使指</w:t>
      </w:r>
      <w:r>
        <w:t>挥</w:t>
      </w:r>
      <w:r>
        <w:rPr>
          <w:rFonts w:hint="eastAsia"/>
        </w:rPr>
        <w:t>信息系统在网络安全、主机安全、数据安全、应用安全、管理安全各个层面应达到</w:t>
      </w:r>
      <w:r>
        <w:rPr>
          <w:rFonts w:hint="eastAsia"/>
          <w:lang w:val="en-US"/>
        </w:rPr>
        <w:t>信息安全技术网络安全等级保护基本要求</w:t>
      </w:r>
      <w:r>
        <w:rPr>
          <w:rFonts w:hint="eastAsia"/>
        </w:rPr>
        <w:t>，为信息系统业务的运行提供网络安全保障。</w:t>
      </w:r>
    </w:p>
    <w:p w14:paraId="312663EF">
      <w:pPr>
        <w:pStyle w:val="4"/>
        <w:numPr>
          <w:ilvl w:val="0"/>
          <w:numId w:val="2"/>
        </w:numPr>
        <w:tabs>
          <w:tab w:val="left" w:pos="1008"/>
        </w:tabs>
        <w:ind w:left="0" w:leftChars="0" w:firstLine="420" w:firstLineChars="0"/>
      </w:pPr>
      <w:bookmarkStart w:id="1" w:name="_Toc42204395"/>
      <w:bookmarkStart w:id="2" w:name="_Toc39671095"/>
      <w:bookmarkStart w:id="3" w:name="_Toc25661267"/>
      <w:bookmarkStart w:id="4" w:name="_Toc14341316"/>
      <w:r>
        <w:t>信息系统安全等级定级</w:t>
      </w:r>
      <w:bookmarkEnd w:id="1"/>
      <w:bookmarkEnd w:id="2"/>
      <w:bookmarkEnd w:id="3"/>
    </w:p>
    <w:p w14:paraId="46CD30FB">
      <w:pPr>
        <w:pStyle w:val="3"/>
        <w:ind w:firstLine="480"/>
        <w:rPr>
          <w:rFonts w:ascii="宋体" w:hAnsi="宋体"/>
        </w:rPr>
      </w:pPr>
      <w:r>
        <w:rPr>
          <w:rFonts w:hint="eastAsia" w:ascii="宋体" w:hAnsi="宋体"/>
        </w:rPr>
        <w:t>根据国家标准《</w:t>
      </w:r>
      <w:r>
        <w:rPr>
          <w:rFonts w:ascii="宋体" w:hAnsi="宋体"/>
        </w:rPr>
        <w:t>GB∕T 28448-2019 信息安全技术网络安全等级保护测评要求</w:t>
      </w:r>
      <w:r>
        <w:rPr>
          <w:rFonts w:hint="eastAsia" w:ascii="宋体" w:hAnsi="宋体"/>
        </w:rPr>
        <w:t>》</w:t>
      </w:r>
      <w:r>
        <w:rPr>
          <w:rFonts w:ascii="宋体" w:hAnsi="宋体"/>
        </w:rPr>
        <w:t>有关</w:t>
      </w:r>
      <w:r>
        <w:rPr>
          <w:rFonts w:hint="eastAsia" w:ascii="宋体" w:hAnsi="宋体"/>
        </w:rPr>
        <w:t>要求，结合</w:t>
      </w:r>
      <w:r>
        <w:rPr>
          <w:rFonts w:hint="eastAsia" w:ascii="宋体" w:hAnsi="宋体"/>
          <w:lang w:val="en-US" w:eastAsia="zh-CN"/>
        </w:rPr>
        <w:t>系统</w:t>
      </w:r>
      <w:r>
        <w:rPr>
          <w:rFonts w:hint="eastAsia" w:ascii="宋体" w:hAnsi="宋体"/>
        </w:rPr>
        <w:t>实际情况，</w:t>
      </w:r>
      <w:r>
        <w:rPr>
          <w:rFonts w:hint="eastAsia" w:ascii="宋体" w:hAnsi="宋体"/>
          <w:lang w:val="en-US" w:eastAsia="zh-CN"/>
        </w:rPr>
        <w:t>来</w:t>
      </w:r>
      <w:r>
        <w:rPr>
          <w:rFonts w:hint="eastAsia" w:ascii="宋体" w:hAnsi="宋体"/>
        </w:rPr>
        <w:t>确定</w:t>
      </w:r>
      <w:r>
        <w:rPr>
          <w:rFonts w:hint="eastAsia" w:ascii="宋体" w:hAnsi="宋体"/>
          <w:lang w:val="en-US" w:eastAsia="zh-CN"/>
        </w:rPr>
        <w:t>系统</w:t>
      </w:r>
      <w:r>
        <w:rPr>
          <w:rFonts w:hint="eastAsia" w:ascii="宋体" w:hAnsi="宋体"/>
        </w:rPr>
        <w:t>主要业务信息安全保护等级。</w:t>
      </w:r>
    </w:p>
    <w:tbl>
      <w:tblPr>
        <w:tblStyle w:val="6"/>
        <w:tblW w:w="8528" w:type="dxa"/>
        <w:jc w:val="center"/>
        <w:tblLayout w:type="fixed"/>
        <w:tblCellMar>
          <w:top w:w="0" w:type="dxa"/>
          <w:left w:w="108" w:type="dxa"/>
          <w:bottom w:w="0" w:type="dxa"/>
          <w:right w:w="108" w:type="dxa"/>
        </w:tblCellMar>
      </w:tblPr>
      <w:tblGrid>
        <w:gridCol w:w="3545"/>
        <w:gridCol w:w="1581"/>
        <w:gridCol w:w="1371"/>
        <w:gridCol w:w="2031"/>
      </w:tblGrid>
      <w:tr w14:paraId="7D84CEE2">
        <w:tblPrEx>
          <w:tblCellMar>
            <w:top w:w="0" w:type="dxa"/>
            <w:left w:w="108" w:type="dxa"/>
            <w:bottom w:w="0" w:type="dxa"/>
            <w:right w:w="108" w:type="dxa"/>
          </w:tblCellMar>
        </w:tblPrEx>
        <w:trPr>
          <w:tblHeader/>
          <w:jc w:val="center"/>
        </w:trPr>
        <w:tc>
          <w:tcPr>
            <w:tcW w:w="3545" w:type="dxa"/>
            <w:vMerge w:val="restart"/>
            <w:tcBorders>
              <w:top w:val="single" w:color="auto" w:sz="4" w:space="0"/>
              <w:left w:val="single" w:color="auto" w:sz="4" w:space="0"/>
              <w:bottom w:val="single" w:color="auto" w:sz="4" w:space="0"/>
              <w:right w:val="single" w:color="auto" w:sz="4" w:space="0"/>
            </w:tcBorders>
            <w:shd w:val="clear" w:color="auto" w:fill="BFBFBF"/>
            <w:vAlign w:val="center"/>
          </w:tcPr>
          <w:p w14:paraId="22D4B0BE">
            <w:pPr>
              <w:pStyle w:val="9"/>
              <w:rPr>
                <w:rFonts w:ascii="宋体" w:hAnsi="宋体"/>
              </w:rPr>
            </w:pPr>
            <w:r>
              <w:rPr>
                <w:rFonts w:hint="eastAsia" w:ascii="宋体" w:hAnsi="宋体"/>
              </w:rPr>
              <w:t>系统服务被破坏时所侵害的客体</w:t>
            </w:r>
          </w:p>
        </w:tc>
        <w:tc>
          <w:tcPr>
            <w:tcW w:w="4983" w:type="dxa"/>
            <w:gridSpan w:val="3"/>
            <w:tcBorders>
              <w:top w:val="single" w:color="auto" w:sz="4" w:space="0"/>
              <w:left w:val="nil"/>
              <w:bottom w:val="single" w:color="auto" w:sz="4" w:space="0"/>
              <w:right w:val="single" w:color="auto" w:sz="4" w:space="0"/>
            </w:tcBorders>
            <w:shd w:val="clear" w:color="auto" w:fill="BFBFBF"/>
            <w:vAlign w:val="bottom"/>
          </w:tcPr>
          <w:p w14:paraId="4E5E7CF5">
            <w:pPr>
              <w:pStyle w:val="9"/>
              <w:rPr>
                <w:rFonts w:ascii="宋体" w:hAnsi="宋体"/>
              </w:rPr>
            </w:pPr>
            <w:r>
              <w:rPr>
                <w:rFonts w:hint="eastAsia" w:ascii="宋体" w:hAnsi="宋体"/>
              </w:rPr>
              <w:t>对相应客体的侵害程度</w:t>
            </w:r>
          </w:p>
        </w:tc>
      </w:tr>
      <w:tr w14:paraId="3016A733">
        <w:tblPrEx>
          <w:tblCellMar>
            <w:top w:w="0" w:type="dxa"/>
            <w:left w:w="108" w:type="dxa"/>
            <w:bottom w:w="0" w:type="dxa"/>
            <w:right w:w="108" w:type="dxa"/>
          </w:tblCellMar>
        </w:tblPrEx>
        <w:trPr>
          <w:tblHeader/>
          <w:jc w:val="center"/>
        </w:trPr>
        <w:tc>
          <w:tcPr>
            <w:tcW w:w="3545" w:type="dxa"/>
            <w:vMerge w:val="continue"/>
            <w:tcBorders>
              <w:top w:val="single" w:color="auto" w:sz="4" w:space="0"/>
              <w:left w:val="single" w:color="auto" w:sz="4" w:space="0"/>
              <w:bottom w:val="single" w:color="auto" w:sz="4" w:space="0"/>
              <w:right w:val="single" w:color="auto" w:sz="4" w:space="0"/>
            </w:tcBorders>
            <w:shd w:val="clear" w:color="auto" w:fill="BFBFBF"/>
            <w:vAlign w:val="center"/>
          </w:tcPr>
          <w:p w14:paraId="6283A7C3">
            <w:pPr>
              <w:pStyle w:val="9"/>
              <w:rPr>
                <w:rFonts w:ascii="宋体" w:hAnsi="宋体"/>
              </w:rPr>
            </w:pPr>
          </w:p>
        </w:tc>
        <w:tc>
          <w:tcPr>
            <w:tcW w:w="1581" w:type="dxa"/>
            <w:tcBorders>
              <w:top w:val="nil"/>
              <w:left w:val="nil"/>
              <w:bottom w:val="single" w:color="auto" w:sz="4" w:space="0"/>
              <w:right w:val="single" w:color="auto" w:sz="4" w:space="0"/>
            </w:tcBorders>
            <w:shd w:val="clear" w:color="auto" w:fill="BFBFBF"/>
            <w:vAlign w:val="bottom"/>
          </w:tcPr>
          <w:p w14:paraId="496ECD3F">
            <w:pPr>
              <w:pStyle w:val="9"/>
              <w:rPr>
                <w:rFonts w:ascii="宋体" w:hAnsi="宋体"/>
              </w:rPr>
            </w:pPr>
            <w:r>
              <w:rPr>
                <w:rFonts w:hint="eastAsia" w:ascii="宋体" w:hAnsi="宋体"/>
              </w:rPr>
              <w:t>一般损害</w:t>
            </w:r>
          </w:p>
        </w:tc>
        <w:tc>
          <w:tcPr>
            <w:tcW w:w="1371" w:type="dxa"/>
            <w:tcBorders>
              <w:top w:val="nil"/>
              <w:left w:val="nil"/>
              <w:bottom w:val="single" w:color="auto" w:sz="4" w:space="0"/>
              <w:right w:val="single" w:color="auto" w:sz="4" w:space="0"/>
            </w:tcBorders>
            <w:shd w:val="clear" w:color="auto" w:fill="BFBFBF"/>
            <w:vAlign w:val="bottom"/>
          </w:tcPr>
          <w:p w14:paraId="29259ECA">
            <w:pPr>
              <w:pStyle w:val="9"/>
              <w:rPr>
                <w:rFonts w:ascii="宋体" w:hAnsi="宋体"/>
              </w:rPr>
            </w:pPr>
            <w:r>
              <w:rPr>
                <w:rFonts w:hint="eastAsia" w:ascii="宋体" w:hAnsi="宋体"/>
              </w:rPr>
              <w:t>严重损害</w:t>
            </w:r>
          </w:p>
        </w:tc>
        <w:tc>
          <w:tcPr>
            <w:tcW w:w="2031" w:type="dxa"/>
            <w:tcBorders>
              <w:top w:val="nil"/>
              <w:left w:val="nil"/>
              <w:bottom w:val="single" w:color="auto" w:sz="4" w:space="0"/>
              <w:right w:val="single" w:color="auto" w:sz="4" w:space="0"/>
            </w:tcBorders>
            <w:shd w:val="clear" w:color="auto" w:fill="BFBFBF"/>
            <w:vAlign w:val="bottom"/>
          </w:tcPr>
          <w:p w14:paraId="3DEF4AEF">
            <w:pPr>
              <w:pStyle w:val="9"/>
              <w:rPr>
                <w:rFonts w:ascii="宋体" w:hAnsi="宋体"/>
              </w:rPr>
            </w:pPr>
            <w:r>
              <w:rPr>
                <w:rFonts w:hint="eastAsia" w:ascii="宋体" w:hAnsi="宋体"/>
              </w:rPr>
              <w:t>特别严重损害</w:t>
            </w:r>
          </w:p>
        </w:tc>
      </w:tr>
      <w:tr w14:paraId="478E9EEB">
        <w:tblPrEx>
          <w:tblCellMar>
            <w:top w:w="0" w:type="dxa"/>
            <w:left w:w="108" w:type="dxa"/>
            <w:bottom w:w="0" w:type="dxa"/>
            <w:right w:w="108" w:type="dxa"/>
          </w:tblCellMar>
        </w:tblPrEx>
        <w:trPr>
          <w:jc w:val="center"/>
        </w:trPr>
        <w:tc>
          <w:tcPr>
            <w:tcW w:w="3545" w:type="dxa"/>
            <w:tcBorders>
              <w:top w:val="nil"/>
              <w:left w:val="single" w:color="auto" w:sz="4" w:space="0"/>
              <w:bottom w:val="single" w:color="auto" w:sz="4" w:space="0"/>
              <w:right w:val="single" w:color="auto" w:sz="4" w:space="0"/>
            </w:tcBorders>
            <w:shd w:val="clear" w:color="auto" w:fill="FFFFFF"/>
            <w:vAlign w:val="center"/>
          </w:tcPr>
          <w:p w14:paraId="6228E2D3">
            <w:pPr>
              <w:pStyle w:val="10"/>
              <w:jc w:val="center"/>
              <w:rPr>
                <w:rFonts w:ascii="宋体" w:hAnsi="宋体"/>
              </w:rPr>
            </w:pPr>
            <w:r>
              <w:rPr>
                <w:rFonts w:hint="eastAsia" w:ascii="宋体" w:hAnsi="宋体"/>
              </w:rPr>
              <w:t>公民、法人和其他组织的合法权益</w:t>
            </w:r>
          </w:p>
        </w:tc>
        <w:tc>
          <w:tcPr>
            <w:tcW w:w="1581" w:type="dxa"/>
            <w:tcBorders>
              <w:top w:val="nil"/>
              <w:left w:val="nil"/>
              <w:bottom w:val="single" w:color="auto" w:sz="4" w:space="0"/>
              <w:right w:val="single" w:color="auto" w:sz="4" w:space="0"/>
            </w:tcBorders>
            <w:shd w:val="clear" w:color="auto" w:fill="FFFFFF"/>
            <w:vAlign w:val="center"/>
          </w:tcPr>
          <w:p w14:paraId="3123A13D">
            <w:pPr>
              <w:pStyle w:val="10"/>
              <w:jc w:val="center"/>
              <w:rPr>
                <w:rFonts w:ascii="宋体" w:hAnsi="宋体"/>
              </w:rPr>
            </w:pPr>
            <w:r>
              <w:rPr>
                <w:rFonts w:hint="eastAsia" w:ascii="宋体" w:hAnsi="宋体"/>
              </w:rPr>
              <w:t>第一级</w:t>
            </w:r>
          </w:p>
        </w:tc>
        <w:tc>
          <w:tcPr>
            <w:tcW w:w="1371" w:type="dxa"/>
            <w:tcBorders>
              <w:top w:val="nil"/>
              <w:left w:val="nil"/>
              <w:bottom w:val="single" w:color="auto" w:sz="4" w:space="0"/>
              <w:right w:val="single" w:color="auto" w:sz="4" w:space="0"/>
            </w:tcBorders>
            <w:shd w:val="clear" w:color="auto" w:fill="FFFFFF"/>
            <w:vAlign w:val="center"/>
          </w:tcPr>
          <w:p w14:paraId="4DAB427B">
            <w:pPr>
              <w:pStyle w:val="10"/>
              <w:jc w:val="center"/>
              <w:rPr>
                <w:rFonts w:ascii="宋体" w:hAnsi="宋体"/>
              </w:rPr>
            </w:pPr>
            <w:r>
              <w:rPr>
                <w:rFonts w:hint="eastAsia" w:ascii="宋体" w:hAnsi="宋体"/>
              </w:rPr>
              <w:t>第二级</w:t>
            </w:r>
          </w:p>
        </w:tc>
        <w:tc>
          <w:tcPr>
            <w:tcW w:w="2031" w:type="dxa"/>
            <w:tcBorders>
              <w:top w:val="nil"/>
              <w:left w:val="nil"/>
              <w:bottom w:val="single" w:color="auto" w:sz="4" w:space="0"/>
              <w:right w:val="single" w:color="auto" w:sz="4" w:space="0"/>
            </w:tcBorders>
            <w:vAlign w:val="center"/>
          </w:tcPr>
          <w:p w14:paraId="64FA47A0">
            <w:pPr>
              <w:pStyle w:val="10"/>
              <w:jc w:val="center"/>
              <w:rPr>
                <w:rFonts w:ascii="宋体" w:hAnsi="宋体"/>
              </w:rPr>
            </w:pPr>
            <w:r>
              <w:rPr>
                <w:rFonts w:hint="eastAsia" w:ascii="宋体" w:hAnsi="宋体"/>
              </w:rPr>
              <w:t>第二级</w:t>
            </w:r>
          </w:p>
        </w:tc>
      </w:tr>
      <w:tr w14:paraId="2314E680">
        <w:tblPrEx>
          <w:tblCellMar>
            <w:top w:w="0" w:type="dxa"/>
            <w:left w:w="108" w:type="dxa"/>
            <w:bottom w:w="0" w:type="dxa"/>
            <w:right w:w="108" w:type="dxa"/>
          </w:tblCellMar>
        </w:tblPrEx>
        <w:trPr>
          <w:jc w:val="center"/>
        </w:trPr>
        <w:tc>
          <w:tcPr>
            <w:tcW w:w="3545" w:type="dxa"/>
            <w:tcBorders>
              <w:top w:val="nil"/>
              <w:left w:val="single" w:color="auto" w:sz="4" w:space="0"/>
              <w:bottom w:val="single" w:color="auto" w:sz="4" w:space="0"/>
              <w:right w:val="single" w:color="auto" w:sz="4" w:space="0"/>
            </w:tcBorders>
            <w:vAlign w:val="center"/>
          </w:tcPr>
          <w:p w14:paraId="79A58EBB">
            <w:pPr>
              <w:pStyle w:val="10"/>
              <w:jc w:val="center"/>
              <w:rPr>
                <w:rFonts w:ascii="宋体" w:hAnsi="宋体"/>
              </w:rPr>
            </w:pPr>
            <w:r>
              <w:rPr>
                <w:rFonts w:hint="eastAsia" w:ascii="宋体" w:hAnsi="宋体"/>
              </w:rPr>
              <w:t>社会秩序、公共利益</w:t>
            </w:r>
          </w:p>
        </w:tc>
        <w:tc>
          <w:tcPr>
            <w:tcW w:w="1581" w:type="dxa"/>
            <w:tcBorders>
              <w:top w:val="nil"/>
              <w:left w:val="nil"/>
              <w:bottom w:val="single" w:color="auto" w:sz="4" w:space="0"/>
              <w:right w:val="single" w:color="auto" w:sz="4" w:space="0"/>
            </w:tcBorders>
            <w:vAlign w:val="center"/>
          </w:tcPr>
          <w:p w14:paraId="436EA1EC">
            <w:pPr>
              <w:pStyle w:val="10"/>
              <w:jc w:val="center"/>
              <w:rPr>
                <w:rFonts w:ascii="宋体" w:hAnsi="宋体"/>
              </w:rPr>
            </w:pPr>
            <w:r>
              <w:rPr>
                <w:rFonts w:hint="eastAsia" w:ascii="宋体" w:hAnsi="宋体"/>
              </w:rPr>
              <w:t>第二级</w:t>
            </w:r>
          </w:p>
        </w:tc>
        <w:tc>
          <w:tcPr>
            <w:tcW w:w="1371" w:type="dxa"/>
            <w:tcBorders>
              <w:top w:val="nil"/>
              <w:left w:val="nil"/>
              <w:bottom w:val="single" w:color="auto" w:sz="4" w:space="0"/>
              <w:right w:val="single" w:color="auto" w:sz="4" w:space="0"/>
            </w:tcBorders>
            <w:vAlign w:val="center"/>
          </w:tcPr>
          <w:p w14:paraId="6B8B906E">
            <w:pPr>
              <w:pStyle w:val="10"/>
              <w:jc w:val="center"/>
              <w:rPr>
                <w:rFonts w:ascii="宋体" w:hAnsi="宋体"/>
              </w:rPr>
            </w:pPr>
            <w:r>
              <w:rPr>
                <w:rFonts w:hint="eastAsia" w:ascii="宋体" w:hAnsi="宋体"/>
              </w:rPr>
              <w:t>第三级</w:t>
            </w:r>
          </w:p>
        </w:tc>
        <w:tc>
          <w:tcPr>
            <w:tcW w:w="2031" w:type="dxa"/>
            <w:tcBorders>
              <w:top w:val="nil"/>
              <w:left w:val="nil"/>
              <w:bottom w:val="single" w:color="auto" w:sz="4" w:space="0"/>
              <w:right w:val="single" w:color="auto" w:sz="4" w:space="0"/>
            </w:tcBorders>
            <w:vAlign w:val="center"/>
          </w:tcPr>
          <w:p w14:paraId="39B92262">
            <w:pPr>
              <w:pStyle w:val="10"/>
              <w:jc w:val="center"/>
              <w:rPr>
                <w:rFonts w:ascii="宋体" w:hAnsi="宋体"/>
              </w:rPr>
            </w:pPr>
            <w:r>
              <w:rPr>
                <w:rFonts w:hint="eastAsia" w:ascii="宋体" w:hAnsi="宋体"/>
              </w:rPr>
              <w:t>第四级</w:t>
            </w:r>
          </w:p>
        </w:tc>
      </w:tr>
      <w:tr w14:paraId="28ADC6DE">
        <w:tblPrEx>
          <w:tblCellMar>
            <w:top w:w="0" w:type="dxa"/>
            <w:left w:w="108" w:type="dxa"/>
            <w:bottom w:w="0" w:type="dxa"/>
            <w:right w:w="108" w:type="dxa"/>
          </w:tblCellMar>
        </w:tblPrEx>
        <w:trPr>
          <w:jc w:val="center"/>
        </w:trPr>
        <w:tc>
          <w:tcPr>
            <w:tcW w:w="3545" w:type="dxa"/>
            <w:tcBorders>
              <w:top w:val="nil"/>
              <w:left w:val="single" w:color="auto" w:sz="4" w:space="0"/>
              <w:bottom w:val="single" w:color="auto" w:sz="4" w:space="0"/>
              <w:right w:val="single" w:color="auto" w:sz="4" w:space="0"/>
            </w:tcBorders>
            <w:vAlign w:val="center"/>
          </w:tcPr>
          <w:p w14:paraId="1C8822AD">
            <w:pPr>
              <w:pStyle w:val="10"/>
              <w:jc w:val="center"/>
              <w:rPr>
                <w:rFonts w:ascii="宋体" w:hAnsi="宋体"/>
              </w:rPr>
            </w:pPr>
            <w:r>
              <w:rPr>
                <w:rFonts w:hint="eastAsia" w:ascii="宋体" w:hAnsi="宋体"/>
              </w:rPr>
              <w:t>国家安全</w:t>
            </w:r>
          </w:p>
        </w:tc>
        <w:tc>
          <w:tcPr>
            <w:tcW w:w="1581" w:type="dxa"/>
            <w:tcBorders>
              <w:top w:val="nil"/>
              <w:left w:val="nil"/>
              <w:bottom w:val="single" w:color="auto" w:sz="4" w:space="0"/>
              <w:right w:val="single" w:color="auto" w:sz="4" w:space="0"/>
            </w:tcBorders>
            <w:vAlign w:val="center"/>
          </w:tcPr>
          <w:p w14:paraId="3AE08B30">
            <w:pPr>
              <w:pStyle w:val="10"/>
              <w:jc w:val="center"/>
              <w:rPr>
                <w:rFonts w:ascii="宋体" w:hAnsi="宋体"/>
              </w:rPr>
            </w:pPr>
            <w:r>
              <w:rPr>
                <w:rFonts w:hint="eastAsia" w:ascii="宋体" w:hAnsi="宋体"/>
              </w:rPr>
              <w:t>第三级</w:t>
            </w:r>
          </w:p>
        </w:tc>
        <w:tc>
          <w:tcPr>
            <w:tcW w:w="1371" w:type="dxa"/>
            <w:tcBorders>
              <w:top w:val="nil"/>
              <w:left w:val="nil"/>
              <w:bottom w:val="single" w:color="auto" w:sz="4" w:space="0"/>
              <w:right w:val="single" w:color="auto" w:sz="4" w:space="0"/>
            </w:tcBorders>
            <w:vAlign w:val="center"/>
          </w:tcPr>
          <w:p w14:paraId="0BDD8C8A">
            <w:pPr>
              <w:pStyle w:val="10"/>
              <w:jc w:val="center"/>
              <w:rPr>
                <w:rFonts w:ascii="宋体" w:hAnsi="宋体"/>
              </w:rPr>
            </w:pPr>
            <w:r>
              <w:rPr>
                <w:rFonts w:hint="eastAsia" w:ascii="宋体" w:hAnsi="宋体"/>
              </w:rPr>
              <w:t>第四级</w:t>
            </w:r>
          </w:p>
        </w:tc>
        <w:tc>
          <w:tcPr>
            <w:tcW w:w="2031" w:type="dxa"/>
            <w:tcBorders>
              <w:top w:val="nil"/>
              <w:left w:val="nil"/>
              <w:bottom w:val="single" w:color="auto" w:sz="4" w:space="0"/>
              <w:right w:val="single" w:color="auto" w:sz="4" w:space="0"/>
            </w:tcBorders>
            <w:vAlign w:val="center"/>
          </w:tcPr>
          <w:p w14:paraId="59EEE692">
            <w:pPr>
              <w:pStyle w:val="10"/>
              <w:jc w:val="center"/>
              <w:rPr>
                <w:rFonts w:ascii="宋体" w:hAnsi="宋体"/>
              </w:rPr>
            </w:pPr>
            <w:r>
              <w:rPr>
                <w:rFonts w:hint="eastAsia" w:ascii="宋体" w:hAnsi="宋体"/>
              </w:rPr>
              <w:t>第五级</w:t>
            </w:r>
          </w:p>
        </w:tc>
      </w:tr>
    </w:tbl>
    <w:p w14:paraId="11F8F16A">
      <w:pPr>
        <w:pStyle w:val="3"/>
        <w:ind w:firstLine="480"/>
        <w:rPr>
          <w:rFonts w:ascii="宋体" w:hAnsi="宋体"/>
        </w:rPr>
      </w:pPr>
      <w:r>
        <w:rPr>
          <w:rFonts w:hint="eastAsia" w:ascii="宋体" w:hAnsi="宋体"/>
          <w:lang w:val="en-US" w:eastAsia="zh-CN"/>
        </w:rPr>
        <w:t>系统</w:t>
      </w:r>
      <w:r>
        <w:rPr>
          <w:rFonts w:hint="eastAsia" w:ascii="宋体" w:hAnsi="宋体"/>
        </w:rPr>
        <w:t>属于为国计民生、经济建设等提供服务的信息系统，</w:t>
      </w:r>
      <w:r>
        <w:rPr>
          <w:rFonts w:hint="eastAsia" w:ascii="宋体" w:hAnsi="宋体"/>
          <w:lang w:val="en-US" w:eastAsia="zh-CN"/>
        </w:rPr>
        <w:t>根据</w:t>
      </w:r>
      <w:r>
        <w:rPr>
          <w:rFonts w:hint="eastAsia" w:ascii="宋体" w:hAnsi="宋体"/>
        </w:rPr>
        <w:t>其服务范围等。业务信息遭到破坏后，所侵害的客体是公民、法人和其他组织的合法权益，同时也侵害社会秩序和公共利益但不损害国家安全。客观方面表现得侵害结果为：</w:t>
      </w:r>
    </w:p>
    <w:p w14:paraId="4C8B7E29">
      <w:pPr>
        <w:pStyle w:val="3"/>
        <w:numPr>
          <w:ilvl w:val="0"/>
          <w:numId w:val="3"/>
        </w:numPr>
        <w:ind w:firstLineChars="0"/>
        <w:rPr>
          <w:rFonts w:ascii="宋体" w:hAnsi="宋体"/>
        </w:rPr>
      </w:pPr>
      <w:r>
        <w:rPr>
          <w:rFonts w:ascii="宋体" w:hAnsi="宋体"/>
        </w:rPr>
        <w:t>可以对公民、法人和其他组织的合法权益造成侵害（影响正常工作的开</w:t>
      </w:r>
      <w:r>
        <w:rPr>
          <w:rFonts w:hint="eastAsia" w:ascii="宋体" w:hAnsi="宋体"/>
        </w:rPr>
        <w:t>展，导致业务能力下降，造成不良影响，引起法律纠纷等）；</w:t>
      </w:r>
    </w:p>
    <w:p w14:paraId="0D7BEEC6">
      <w:pPr>
        <w:pStyle w:val="3"/>
        <w:numPr>
          <w:ilvl w:val="0"/>
          <w:numId w:val="3"/>
        </w:numPr>
        <w:ind w:firstLineChars="0"/>
        <w:rPr>
          <w:rFonts w:ascii="宋体" w:hAnsi="宋体"/>
        </w:rPr>
      </w:pPr>
      <w:r>
        <w:rPr>
          <w:rFonts w:ascii="宋体" w:hAnsi="宋体"/>
        </w:rPr>
        <w:t>可以对社会秩序公共利益造成侵害（造成社会不良影响，引起公共利益</w:t>
      </w:r>
      <w:r>
        <w:rPr>
          <w:rFonts w:hint="eastAsia" w:ascii="宋体" w:hAnsi="宋体"/>
        </w:rPr>
        <w:t>的损害等）。</w:t>
      </w:r>
    </w:p>
    <w:p w14:paraId="126DB6EF">
      <w:pPr>
        <w:pStyle w:val="3"/>
        <w:ind w:firstLine="480"/>
        <w:rPr>
          <w:rFonts w:ascii="宋体" w:hAnsi="宋体"/>
        </w:rPr>
      </w:pPr>
      <w:r>
        <w:rPr>
          <w:rFonts w:hint="eastAsia" w:ascii="宋体" w:hAnsi="宋体"/>
        </w:rPr>
        <w:t>根据《定级指南》的要求，出现上述两个侵害客体时，优先考虑社会秩序和公共利益。上述结果的程度表现为：对社会秩序和公共利益造成严重损害，即会出现较大范围的社会不良影响和较大程度的公共利益的损害等。由于侵害的客体有两个，侵害的程度也有两个，则业务信息安全保护等级</w:t>
      </w:r>
      <w:r>
        <w:rPr>
          <w:rFonts w:hint="eastAsia" w:ascii="宋体" w:hAnsi="宋体"/>
          <w:lang w:val="en-US" w:eastAsia="zh-CN"/>
        </w:rPr>
        <w:t>应</w:t>
      </w:r>
      <w:r>
        <w:rPr>
          <w:rFonts w:hint="eastAsia" w:ascii="宋体" w:hAnsi="宋体"/>
        </w:rPr>
        <w:t>为第三级。</w:t>
      </w:r>
    </w:p>
    <w:tbl>
      <w:tblPr>
        <w:tblStyle w:val="6"/>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1316"/>
        <w:gridCol w:w="1316"/>
        <w:gridCol w:w="1950"/>
      </w:tblGrid>
      <w:tr w14:paraId="0429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745" w:type="dxa"/>
            <w:vMerge w:val="restart"/>
            <w:shd w:val="clear" w:color="auto" w:fill="BFBFBF"/>
            <w:vAlign w:val="center"/>
          </w:tcPr>
          <w:p w14:paraId="6BD9FA08">
            <w:pPr>
              <w:pStyle w:val="9"/>
              <w:rPr>
                <w:rFonts w:ascii="宋体" w:hAnsi="宋体"/>
              </w:rPr>
            </w:pPr>
            <w:r>
              <w:rPr>
                <w:rFonts w:hint="eastAsia" w:ascii="宋体" w:hAnsi="宋体"/>
              </w:rPr>
              <w:t>系统服务被破坏时所侵害的客体</w:t>
            </w:r>
          </w:p>
        </w:tc>
        <w:tc>
          <w:tcPr>
            <w:tcW w:w="4582" w:type="dxa"/>
            <w:gridSpan w:val="3"/>
            <w:shd w:val="clear" w:color="auto" w:fill="BFBFBF"/>
            <w:vAlign w:val="bottom"/>
          </w:tcPr>
          <w:p w14:paraId="44B12C3A">
            <w:pPr>
              <w:pStyle w:val="9"/>
              <w:rPr>
                <w:rFonts w:ascii="宋体" w:hAnsi="宋体"/>
              </w:rPr>
            </w:pPr>
            <w:r>
              <w:rPr>
                <w:rFonts w:hint="eastAsia" w:ascii="宋体" w:hAnsi="宋体"/>
              </w:rPr>
              <w:t>对相应客体的侵害程度</w:t>
            </w:r>
          </w:p>
        </w:tc>
      </w:tr>
      <w:tr w14:paraId="266C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745" w:type="dxa"/>
            <w:vMerge w:val="continue"/>
            <w:shd w:val="clear" w:color="auto" w:fill="BFBFBF"/>
            <w:vAlign w:val="center"/>
          </w:tcPr>
          <w:p w14:paraId="0CB20FBF">
            <w:pPr>
              <w:pStyle w:val="9"/>
              <w:rPr>
                <w:rFonts w:ascii="宋体" w:hAnsi="宋体"/>
              </w:rPr>
            </w:pPr>
          </w:p>
        </w:tc>
        <w:tc>
          <w:tcPr>
            <w:tcW w:w="1316" w:type="dxa"/>
            <w:shd w:val="clear" w:color="auto" w:fill="BFBFBF"/>
            <w:vAlign w:val="bottom"/>
          </w:tcPr>
          <w:p w14:paraId="4BFCBB1C">
            <w:pPr>
              <w:pStyle w:val="9"/>
              <w:rPr>
                <w:rFonts w:ascii="宋体" w:hAnsi="宋体"/>
              </w:rPr>
            </w:pPr>
            <w:r>
              <w:rPr>
                <w:rFonts w:hint="eastAsia" w:ascii="宋体" w:hAnsi="宋体"/>
              </w:rPr>
              <w:t>一般损害</w:t>
            </w:r>
          </w:p>
        </w:tc>
        <w:tc>
          <w:tcPr>
            <w:tcW w:w="1316" w:type="dxa"/>
            <w:shd w:val="clear" w:color="auto" w:fill="BFBFBF"/>
            <w:vAlign w:val="bottom"/>
          </w:tcPr>
          <w:p w14:paraId="14ADDE5A">
            <w:pPr>
              <w:pStyle w:val="9"/>
              <w:rPr>
                <w:rFonts w:ascii="宋体" w:hAnsi="宋体"/>
              </w:rPr>
            </w:pPr>
            <w:r>
              <w:rPr>
                <w:rFonts w:hint="eastAsia" w:ascii="宋体" w:hAnsi="宋体"/>
              </w:rPr>
              <w:t>严重损害</w:t>
            </w:r>
          </w:p>
        </w:tc>
        <w:tc>
          <w:tcPr>
            <w:tcW w:w="1950" w:type="dxa"/>
            <w:shd w:val="clear" w:color="auto" w:fill="BFBFBF"/>
            <w:vAlign w:val="bottom"/>
          </w:tcPr>
          <w:p w14:paraId="63B5C4BA">
            <w:pPr>
              <w:pStyle w:val="9"/>
              <w:rPr>
                <w:rFonts w:ascii="宋体" w:hAnsi="宋体"/>
              </w:rPr>
            </w:pPr>
            <w:r>
              <w:rPr>
                <w:rFonts w:hint="eastAsia" w:ascii="宋体" w:hAnsi="宋体"/>
              </w:rPr>
              <w:t>特别严重损害</w:t>
            </w:r>
          </w:p>
        </w:tc>
      </w:tr>
      <w:tr w14:paraId="2687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shd w:val="clear" w:color="auto" w:fill="FFFFFF"/>
            <w:vAlign w:val="bottom"/>
          </w:tcPr>
          <w:p w14:paraId="220284E5">
            <w:pPr>
              <w:pStyle w:val="10"/>
              <w:rPr>
                <w:rFonts w:ascii="宋体" w:hAnsi="宋体"/>
              </w:rPr>
            </w:pPr>
            <w:r>
              <w:rPr>
                <w:rFonts w:hint="eastAsia" w:ascii="宋体" w:hAnsi="宋体"/>
              </w:rPr>
              <w:t>公民、法人和其他组织的合法权益</w:t>
            </w:r>
          </w:p>
        </w:tc>
        <w:tc>
          <w:tcPr>
            <w:tcW w:w="1316" w:type="dxa"/>
            <w:shd w:val="clear" w:color="auto" w:fill="FFFFFF"/>
            <w:vAlign w:val="bottom"/>
          </w:tcPr>
          <w:p w14:paraId="03EAB28C">
            <w:pPr>
              <w:pStyle w:val="10"/>
              <w:rPr>
                <w:rFonts w:ascii="宋体" w:hAnsi="宋体"/>
              </w:rPr>
            </w:pPr>
            <w:r>
              <w:rPr>
                <w:rFonts w:hint="eastAsia" w:ascii="宋体" w:hAnsi="宋体"/>
              </w:rPr>
              <w:t>第一级</w:t>
            </w:r>
          </w:p>
        </w:tc>
        <w:tc>
          <w:tcPr>
            <w:tcW w:w="1316" w:type="dxa"/>
            <w:vAlign w:val="bottom"/>
          </w:tcPr>
          <w:p w14:paraId="5F4428B7">
            <w:pPr>
              <w:pStyle w:val="10"/>
              <w:rPr>
                <w:rFonts w:ascii="宋体" w:hAnsi="宋体"/>
              </w:rPr>
            </w:pPr>
            <w:r>
              <w:rPr>
                <w:rFonts w:hint="eastAsia" w:ascii="宋体" w:hAnsi="宋体"/>
              </w:rPr>
              <w:t>第二级</w:t>
            </w:r>
          </w:p>
        </w:tc>
        <w:tc>
          <w:tcPr>
            <w:tcW w:w="1950" w:type="dxa"/>
            <w:vAlign w:val="bottom"/>
          </w:tcPr>
          <w:p w14:paraId="496B1580">
            <w:pPr>
              <w:pStyle w:val="10"/>
              <w:rPr>
                <w:rFonts w:ascii="宋体" w:hAnsi="宋体"/>
              </w:rPr>
            </w:pPr>
            <w:r>
              <w:rPr>
                <w:rFonts w:hint="eastAsia" w:ascii="宋体" w:hAnsi="宋体"/>
              </w:rPr>
              <w:t>第二级</w:t>
            </w:r>
          </w:p>
        </w:tc>
      </w:tr>
      <w:tr w14:paraId="4803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shd w:val="clear" w:color="auto" w:fill="FFFFFF"/>
            <w:vAlign w:val="bottom"/>
          </w:tcPr>
          <w:p w14:paraId="3D7D779D">
            <w:pPr>
              <w:pStyle w:val="10"/>
              <w:rPr>
                <w:rFonts w:ascii="宋体" w:hAnsi="宋体"/>
              </w:rPr>
            </w:pPr>
            <w:r>
              <w:rPr>
                <w:rFonts w:hint="eastAsia" w:ascii="宋体" w:hAnsi="宋体"/>
              </w:rPr>
              <w:t>社会秩序、公共利益</w:t>
            </w:r>
          </w:p>
        </w:tc>
        <w:tc>
          <w:tcPr>
            <w:tcW w:w="1316" w:type="dxa"/>
            <w:shd w:val="clear" w:color="auto" w:fill="FFFFFF"/>
            <w:vAlign w:val="bottom"/>
          </w:tcPr>
          <w:p w14:paraId="0C013077">
            <w:pPr>
              <w:pStyle w:val="10"/>
              <w:rPr>
                <w:rFonts w:ascii="宋体" w:hAnsi="宋体"/>
              </w:rPr>
            </w:pPr>
            <w:r>
              <w:rPr>
                <w:rFonts w:hint="eastAsia" w:ascii="宋体" w:hAnsi="宋体"/>
              </w:rPr>
              <w:t>第二级</w:t>
            </w:r>
          </w:p>
        </w:tc>
        <w:tc>
          <w:tcPr>
            <w:tcW w:w="1316" w:type="dxa"/>
            <w:vAlign w:val="bottom"/>
          </w:tcPr>
          <w:p w14:paraId="338B69E9">
            <w:pPr>
              <w:pStyle w:val="10"/>
              <w:rPr>
                <w:rFonts w:ascii="宋体" w:hAnsi="宋体"/>
              </w:rPr>
            </w:pPr>
            <w:r>
              <w:rPr>
                <w:rFonts w:hint="eastAsia" w:ascii="宋体" w:hAnsi="宋体"/>
              </w:rPr>
              <w:t>第三级</w:t>
            </w:r>
          </w:p>
        </w:tc>
        <w:tc>
          <w:tcPr>
            <w:tcW w:w="1950" w:type="dxa"/>
            <w:vAlign w:val="bottom"/>
          </w:tcPr>
          <w:p w14:paraId="7379F8EA">
            <w:pPr>
              <w:pStyle w:val="10"/>
              <w:rPr>
                <w:rFonts w:ascii="宋体" w:hAnsi="宋体"/>
              </w:rPr>
            </w:pPr>
            <w:r>
              <w:rPr>
                <w:rFonts w:hint="eastAsia" w:ascii="宋体" w:hAnsi="宋体"/>
              </w:rPr>
              <w:t>第四级</w:t>
            </w:r>
          </w:p>
        </w:tc>
      </w:tr>
      <w:tr w14:paraId="7359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shd w:val="clear" w:color="auto" w:fill="FFFFFF"/>
            <w:vAlign w:val="bottom"/>
          </w:tcPr>
          <w:p w14:paraId="62615C0B">
            <w:pPr>
              <w:pStyle w:val="10"/>
              <w:rPr>
                <w:rFonts w:ascii="宋体" w:hAnsi="宋体"/>
              </w:rPr>
            </w:pPr>
            <w:r>
              <w:rPr>
                <w:rFonts w:hint="eastAsia" w:ascii="宋体" w:hAnsi="宋体"/>
              </w:rPr>
              <w:t>国家安全</w:t>
            </w:r>
          </w:p>
        </w:tc>
        <w:tc>
          <w:tcPr>
            <w:tcW w:w="1316" w:type="dxa"/>
            <w:shd w:val="clear" w:color="auto" w:fill="FFFFFF"/>
            <w:vAlign w:val="bottom"/>
          </w:tcPr>
          <w:p w14:paraId="16FEA681">
            <w:pPr>
              <w:pStyle w:val="10"/>
              <w:rPr>
                <w:rFonts w:ascii="宋体" w:hAnsi="宋体"/>
              </w:rPr>
            </w:pPr>
            <w:r>
              <w:rPr>
                <w:rFonts w:hint="eastAsia" w:ascii="宋体" w:hAnsi="宋体"/>
              </w:rPr>
              <w:t>第三级</w:t>
            </w:r>
          </w:p>
        </w:tc>
        <w:tc>
          <w:tcPr>
            <w:tcW w:w="1316" w:type="dxa"/>
            <w:vAlign w:val="bottom"/>
          </w:tcPr>
          <w:p w14:paraId="1E775EC1">
            <w:pPr>
              <w:pStyle w:val="10"/>
              <w:rPr>
                <w:rFonts w:ascii="宋体" w:hAnsi="宋体"/>
              </w:rPr>
            </w:pPr>
            <w:r>
              <w:rPr>
                <w:rFonts w:hint="eastAsia" w:ascii="宋体" w:hAnsi="宋体"/>
              </w:rPr>
              <w:t>第四级</w:t>
            </w:r>
          </w:p>
        </w:tc>
        <w:tc>
          <w:tcPr>
            <w:tcW w:w="1950" w:type="dxa"/>
            <w:vAlign w:val="bottom"/>
          </w:tcPr>
          <w:p w14:paraId="586E0560">
            <w:pPr>
              <w:pStyle w:val="10"/>
              <w:rPr>
                <w:rFonts w:ascii="宋体" w:hAnsi="宋体"/>
              </w:rPr>
            </w:pPr>
            <w:r>
              <w:rPr>
                <w:rFonts w:hint="eastAsia" w:ascii="宋体" w:hAnsi="宋体"/>
              </w:rPr>
              <w:t>第五级</w:t>
            </w:r>
          </w:p>
        </w:tc>
      </w:tr>
    </w:tbl>
    <w:p w14:paraId="0CB2D2F4">
      <w:pPr>
        <w:pStyle w:val="3"/>
        <w:ind w:firstLine="480"/>
        <w:rPr>
          <w:rFonts w:ascii="宋体" w:hAnsi="宋体"/>
        </w:rPr>
      </w:pPr>
      <w:r>
        <w:rPr>
          <w:rFonts w:hint="eastAsia" w:ascii="宋体" w:hAnsi="宋体"/>
        </w:rPr>
        <w:t>信息系统的安全保护等级由业务信息安全等级和系统服务安全务安等级的较高者决定。所以，</w:t>
      </w:r>
      <w:r>
        <w:rPr>
          <w:rFonts w:hint="eastAsia" w:ascii="宋体" w:hAnsi="宋体"/>
          <w:lang w:val="en-US" w:eastAsia="zh-CN"/>
        </w:rPr>
        <w:t>系统</w:t>
      </w:r>
      <w:r>
        <w:rPr>
          <w:rFonts w:hint="eastAsia" w:ascii="宋体" w:hAnsi="宋体"/>
        </w:rPr>
        <w:t>安全保护等级</w:t>
      </w:r>
      <w:r>
        <w:rPr>
          <w:rFonts w:hint="eastAsia" w:ascii="宋体" w:hAnsi="宋体"/>
          <w:lang w:val="en-US" w:eastAsia="zh-CN"/>
        </w:rPr>
        <w:t>应</w:t>
      </w:r>
      <w:r>
        <w:rPr>
          <w:rFonts w:hint="eastAsia" w:ascii="宋体" w:hAnsi="宋体"/>
        </w:rPr>
        <w:t>为第三级。</w:t>
      </w:r>
    </w:p>
    <w:p w14:paraId="7905A9A0">
      <w:pPr>
        <w:pStyle w:val="5"/>
        <w:numPr>
          <w:ilvl w:val="0"/>
          <w:numId w:val="4"/>
        </w:numPr>
        <w:ind w:left="425" w:leftChars="0" w:hanging="425" w:firstLineChars="0"/>
      </w:pPr>
      <w:r>
        <w:rPr>
          <w:rFonts w:hint="eastAsia"/>
        </w:rPr>
        <w:t>对应国家三级等级保护的措施</w:t>
      </w:r>
    </w:p>
    <w:tbl>
      <w:tblPr>
        <w:tblStyle w:val="6"/>
        <w:tblW w:w="8528" w:type="dxa"/>
        <w:tblInd w:w="0" w:type="dxa"/>
        <w:tblLayout w:type="fixed"/>
        <w:tblCellMar>
          <w:top w:w="0" w:type="dxa"/>
          <w:left w:w="108" w:type="dxa"/>
          <w:bottom w:w="0" w:type="dxa"/>
          <w:right w:w="108" w:type="dxa"/>
        </w:tblCellMar>
      </w:tblPr>
      <w:tblGrid>
        <w:gridCol w:w="3549"/>
        <w:gridCol w:w="4979"/>
      </w:tblGrid>
      <w:tr w14:paraId="7C78A6AE">
        <w:tblPrEx>
          <w:tblCellMar>
            <w:top w:w="0" w:type="dxa"/>
            <w:left w:w="108" w:type="dxa"/>
            <w:bottom w:w="0" w:type="dxa"/>
            <w:right w:w="108" w:type="dxa"/>
          </w:tblCellMar>
        </w:tblPrEx>
        <w:trPr>
          <w:tblHeader/>
        </w:trPr>
        <w:tc>
          <w:tcPr>
            <w:tcW w:w="3549" w:type="dxa"/>
            <w:tcBorders>
              <w:top w:val="single" w:color="auto" w:sz="4" w:space="0"/>
              <w:left w:val="single" w:color="auto" w:sz="4" w:space="0"/>
              <w:bottom w:val="single" w:color="auto" w:sz="4" w:space="0"/>
              <w:right w:val="single" w:color="auto" w:sz="4" w:space="0"/>
            </w:tcBorders>
            <w:shd w:val="clear" w:color="auto" w:fill="BFBFBF"/>
            <w:vAlign w:val="center"/>
          </w:tcPr>
          <w:p w14:paraId="7DC705A4">
            <w:pPr>
              <w:pStyle w:val="9"/>
              <w:rPr>
                <w:rFonts w:ascii="宋体" w:hAnsi="宋体"/>
              </w:rPr>
            </w:pPr>
            <w:r>
              <w:rPr>
                <w:rFonts w:hint="eastAsia" w:ascii="宋体" w:hAnsi="宋体"/>
              </w:rPr>
              <w:t>三级等级保护的主要技术要求</w:t>
            </w:r>
          </w:p>
        </w:tc>
        <w:tc>
          <w:tcPr>
            <w:tcW w:w="4979" w:type="dxa"/>
            <w:tcBorders>
              <w:top w:val="single" w:color="auto" w:sz="4" w:space="0"/>
              <w:left w:val="nil"/>
              <w:bottom w:val="single" w:color="auto" w:sz="4" w:space="0"/>
              <w:right w:val="single" w:color="auto" w:sz="4" w:space="0"/>
            </w:tcBorders>
            <w:shd w:val="clear" w:color="auto" w:fill="BFBFBF"/>
            <w:vAlign w:val="center"/>
          </w:tcPr>
          <w:p w14:paraId="49536D07">
            <w:pPr>
              <w:pStyle w:val="9"/>
              <w:rPr>
                <w:rFonts w:ascii="宋体" w:hAnsi="宋体"/>
              </w:rPr>
            </w:pPr>
            <w:r>
              <w:rPr>
                <w:rFonts w:hint="eastAsia" w:ascii="宋体" w:hAnsi="宋体"/>
              </w:rPr>
              <w:t>方案采取的措施</w:t>
            </w:r>
          </w:p>
        </w:tc>
      </w:tr>
      <w:tr w14:paraId="15F9556D">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5BB12104">
            <w:pPr>
              <w:pStyle w:val="10"/>
              <w:jc w:val="center"/>
              <w:rPr>
                <w:rFonts w:ascii="宋体" w:hAnsi="宋体"/>
              </w:rPr>
            </w:pPr>
            <w:r>
              <w:rPr>
                <w:rFonts w:hint="eastAsia" w:ascii="宋体" w:hAnsi="宋体"/>
              </w:rPr>
              <w:t>网络结构安全：应避免将重要网段部署在网络边界处且直接连接外部信息系统，重要网段与其他网段之间采取可靠的技术隔离手段；</w:t>
            </w:r>
          </w:p>
        </w:tc>
        <w:tc>
          <w:tcPr>
            <w:tcW w:w="4979" w:type="dxa"/>
            <w:tcBorders>
              <w:top w:val="nil"/>
              <w:left w:val="nil"/>
              <w:bottom w:val="single" w:color="auto" w:sz="4" w:space="0"/>
              <w:right w:val="single" w:color="auto" w:sz="4" w:space="0"/>
            </w:tcBorders>
            <w:shd w:val="clear" w:color="auto" w:fill="auto"/>
            <w:vAlign w:val="center"/>
          </w:tcPr>
          <w:p w14:paraId="3D37F24D">
            <w:pPr>
              <w:pStyle w:val="10"/>
              <w:jc w:val="center"/>
              <w:rPr>
                <w:rFonts w:ascii="宋体" w:hAnsi="宋体"/>
              </w:rPr>
            </w:pPr>
            <w:r>
              <w:rPr>
                <w:rFonts w:ascii="宋体" w:hAnsi="宋体"/>
              </w:rPr>
              <w:t>IPS</w:t>
            </w:r>
            <w:r>
              <w:rPr>
                <w:rFonts w:hint="eastAsia" w:ascii="宋体" w:hAnsi="宋体"/>
              </w:rPr>
              <w:t>技术、防火墙技术，实现重要网段和其他网段的逻辑隔离。</w:t>
            </w:r>
            <w:r>
              <w:rPr>
                <w:rFonts w:ascii="宋体" w:hAnsi="宋体"/>
              </w:rPr>
              <w:t>MPLS VPN/</w:t>
            </w:r>
            <w:r>
              <w:rPr>
                <w:rFonts w:hint="eastAsia" w:ascii="宋体" w:hAnsi="宋体"/>
              </w:rPr>
              <w:t>设备冗余</w:t>
            </w:r>
            <w:r>
              <w:rPr>
                <w:rFonts w:ascii="宋体" w:hAnsi="宋体"/>
              </w:rPr>
              <w:t xml:space="preserve">/vlan </w:t>
            </w:r>
            <w:r>
              <w:rPr>
                <w:rFonts w:hint="eastAsia" w:ascii="宋体" w:hAnsi="宋体"/>
              </w:rPr>
              <w:t>技术隔离</w:t>
            </w:r>
            <w:r>
              <w:rPr>
                <w:rFonts w:ascii="宋体" w:hAnsi="宋体"/>
              </w:rPr>
              <w:t>/</w:t>
            </w:r>
            <w:r>
              <w:rPr>
                <w:rFonts w:hint="eastAsia" w:ascii="宋体" w:hAnsi="宋体"/>
              </w:rPr>
              <w:t>带宽保障（</w:t>
            </w:r>
            <w:r>
              <w:rPr>
                <w:rFonts w:ascii="宋体" w:hAnsi="宋体"/>
              </w:rPr>
              <w:t>ACG</w:t>
            </w:r>
            <w:r>
              <w:rPr>
                <w:rFonts w:hint="eastAsia" w:ascii="宋体" w:hAnsi="宋体"/>
              </w:rPr>
              <w:t>），需下一代防火墙、下一代防火墙的</w:t>
            </w:r>
            <w:r>
              <w:rPr>
                <w:rFonts w:ascii="宋体" w:hAnsi="宋体"/>
              </w:rPr>
              <w:t xml:space="preserve">IPS </w:t>
            </w:r>
            <w:r>
              <w:rPr>
                <w:rFonts w:hint="eastAsia" w:ascii="宋体" w:hAnsi="宋体"/>
              </w:rPr>
              <w:t>功能模块和下一代防火墙的</w:t>
            </w:r>
            <w:r>
              <w:rPr>
                <w:rFonts w:ascii="宋体" w:hAnsi="宋体"/>
              </w:rPr>
              <w:t xml:space="preserve"> ACG </w:t>
            </w:r>
            <w:r>
              <w:rPr>
                <w:rFonts w:hint="eastAsia" w:ascii="宋体" w:hAnsi="宋体"/>
              </w:rPr>
              <w:t>功能模块</w:t>
            </w:r>
          </w:p>
        </w:tc>
      </w:tr>
      <w:tr w14:paraId="122BD3D3">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29CBC95D">
            <w:pPr>
              <w:pStyle w:val="10"/>
              <w:jc w:val="center"/>
              <w:rPr>
                <w:rFonts w:ascii="宋体" w:hAnsi="宋体"/>
              </w:rPr>
            </w:pPr>
            <w:r>
              <w:rPr>
                <w:rFonts w:hint="eastAsia" w:ascii="宋体" w:hAnsi="宋体"/>
              </w:rPr>
              <w:t>网络访问控制</w:t>
            </w:r>
          </w:p>
        </w:tc>
        <w:tc>
          <w:tcPr>
            <w:tcW w:w="4979" w:type="dxa"/>
            <w:tcBorders>
              <w:top w:val="nil"/>
              <w:left w:val="nil"/>
              <w:bottom w:val="single" w:color="auto" w:sz="4" w:space="0"/>
              <w:right w:val="single" w:color="auto" w:sz="4" w:space="0"/>
            </w:tcBorders>
            <w:shd w:val="clear" w:color="auto" w:fill="auto"/>
            <w:vAlign w:val="center"/>
          </w:tcPr>
          <w:p w14:paraId="1E1BCC4E">
            <w:pPr>
              <w:pStyle w:val="10"/>
              <w:jc w:val="center"/>
              <w:rPr>
                <w:rFonts w:ascii="宋体" w:hAnsi="宋体"/>
              </w:rPr>
            </w:pPr>
            <w:r>
              <w:rPr>
                <w:rFonts w:hint="eastAsia" w:ascii="宋体" w:hAnsi="宋体"/>
              </w:rPr>
              <w:t>防火墙技术</w:t>
            </w:r>
            <w:r>
              <w:rPr>
                <w:rFonts w:ascii="宋体" w:hAnsi="宋体"/>
              </w:rPr>
              <w:t xml:space="preserve">. </w:t>
            </w:r>
            <w:r>
              <w:rPr>
                <w:rFonts w:hint="eastAsia" w:ascii="宋体" w:hAnsi="宋体"/>
              </w:rPr>
              <w:t>核心交换机</w:t>
            </w:r>
            <w:r>
              <w:rPr>
                <w:rFonts w:ascii="宋体" w:hAnsi="宋体"/>
              </w:rPr>
              <w:t xml:space="preserve">MPLS VPN/vlan </w:t>
            </w:r>
            <w:r>
              <w:rPr>
                <w:rFonts w:hint="eastAsia" w:ascii="宋体" w:hAnsi="宋体"/>
              </w:rPr>
              <w:t>技术隔离，需下一代防火墙和核心交换机</w:t>
            </w:r>
          </w:p>
        </w:tc>
      </w:tr>
      <w:tr w14:paraId="2F803C9F">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51142D95">
            <w:pPr>
              <w:pStyle w:val="10"/>
              <w:jc w:val="center"/>
              <w:rPr>
                <w:rFonts w:ascii="宋体" w:hAnsi="宋体"/>
              </w:rPr>
            </w:pPr>
            <w:r>
              <w:rPr>
                <w:rFonts w:hint="eastAsia" w:ascii="宋体" w:hAnsi="宋体"/>
              </w:rPr>
              <w:t>网络安全审计</w:t>
            </w:r>
          </w:p>
        </w:tc>
        <w:tc>
          <w:tcPr>
            <w:tcW w:w="4979" w:type="dxa"/>
            <w:tcBorders>
              <w:top w:val="nil"/>
              <w:left w:val="nil"/>
              <w:bottom w:val="single" w:color="auto" w:sz="4" w:space="0"/>
              <w:right w:val="single" w:color="auto" w:sz="4" w:space="0"/>
            </w:tcBorders>
            <w:shd w:val="clear" w:color="auto" w:fill="auto"/>
            <w:vAlign w:val="center"/>
          </w:tcPr>
          <w:p w14:paraId="2BAFEBE2">
            <w:pPr>
              <w:pStyle w:val="10"/>
              <w:jc w:val="center"/>
              <w:rPr>
                <w:rFonts w:ascii="宋体" w:hAnsi="宋体"/>
              </w:rPr>
            </w:pPr>
            <w:r>
              <w:rPr>
                <w:rFonts w:hint="eastAsia" w:ascii="宋体" w:hAnsi="宋体"/>
              </w:rPr>
              <w:t>网络安全审计系统</w:t>
            </w:r>
            <w:r>
              <w:rPr>
                <w:rFonts w:ascii="宋体" w:hAnsi="宋体"/>
              </w:rPr>
              <w:t>(ACG/iMC)</w:t>
            </w:r>
            <w:r>
              <w:rPr>
                <w:rFonts w:hint="eastAsia" w:ascii="宋体" w:hAnsi="宋体"/>
              </w:rPr>
              <w:t>，需下一代防火墙的</w:t>
            </w:r>
            <w:r>
              <w:rPr>
                <w:rFonts w:ascii="宋体" w:hAnsi="宋体"/>
              </w:rPr>
              <w:t xml:space="preserve">ACG </w:t>
            </w:r>
            <w:r>
              <w:rPr>
                <w:rFonts w:hint="eastAsia" w:ascii="宋体" w:hAnsi="宋体"/>
              </w:rPr>
              <w:t>功能模块和网络安全管理平台（也可以直接由安全设备自身的管理页面和配置、告警信息来实现但工作量大，实时性差）</w:t>
            </w:r>
          </w:p>
        </w:tc>
      </w:tr>
      <w:tr w14:paraId="3C42A553">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0B9AC759">
            <w:pPr>
              <w:pStyle w:val="10"/>
              <w:jc w:val="center"/>
              <w:rPr>
                <w:rFonts w:ascii="宋体" w:hAnsi="宋体"/>
              </w:rPr>
            </w:pPr>
            <w:r>
              <w:rPr>
                <w:rFonts w:hint="eastAsia" w:ascii="宋体" w:hAnsi="宋体"/>
              </w:rPr>
              <w:t>网络边界完整性检查</w:t>
            </w:r>
          </w:p>
        </w:tc>
        <w:tc>
          <w:tcPr>
            <w:tcW w:w="4979" w:type="dxa"/>
            <w:tcBorders>
              <w:top w:val="nil"/>
              <w:left w:val="nil"/>
              <w:bottom w:val="single" w:color="auto" w:sz="4" w:space="0"/>
              <w:right w:val="single" w:color="auto" w:sz="4" w:space="0"/>
            </w:tcBorders>
            <w:shd w:val="clear" w:color="auto" w:fill="auto"/>
            <w:vAlign w:val="center"/>
          </w:tcPr>
          <w:p w14:paraId="022832AD">
            <w:pPr>
              <w:pStyle w:val="10"/>
              <w:jc w:val="center"/>
              <w:rPr>
                <w:rFonts w:ascii="宋体" w:hAnsi="宋体"/>
              </w:rPr>
            </w:pPr>
            <w:r>
              <w:rPr>
                <w:rFonts w:hint="eastAsia" w:ascii="宋体" w:hAnsi="宋体"/>
              </w:rPr>
              <w:t>网络管理平台和安全准入系统（本方案不涉及）实现，或者通过人工实现</w:t>
            </w:r>
          </w:p>
        </w:tc>
      </w:tr>
      <w:tr w14:paraId="1C2B8C82">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6933743D">
            <w:pPr>
              <w:pStyle w:val="10"/>
              <w:jc w:val="center"/>
              <w:rPr>
                <w:rFonts w:ascii="宋体" w:hAnsi="宋体"/>
              </w:rPr>
            </w:pPr>
            <w:r>
              <w:rPr>
                <w:rFonts w:hint="eastAsia" w:ascii="宋体" w:hAnsi="宋体"/>
              </w:rPr>
              <w:t>网络入侵防范</w:t>
            </w:r>
          </w:p>
        </w:tc>
        <w:tc>
          <w:tcPr>
            <w:tcW w:w="4979" w:type="dxa"/>
            <w:tcBorders>
              <w:top w:val="nil"/>
              <w:left w:val="nil"/>
              <w:bottom w:val="single" w:color="auto" w:sz="4" w:space="0"/>
              <w:right w:val="single" w:color="auto" w:sz="4" w:space="0"/>
            </w:tcBorders>
            <w:shd w:val="clear" w:color="auto" w:fill="auto"/>
            <w:vAlign w:val="center"/>
          </w:tcPr>
          <w:p w14:paraId="06891619">
            <w:pPr>
              <w:pStyle w:val="10"/>
              <w:jc w:val="center"/>
              <w:rPr>
                <w:rFonts w:ascii="宋体" w:hAnsi="宋体"/>
              </w:rPr>
            </w:pPr>
            <w:r>
              <w:rPr>
                <w:rFonts w:ascii="宋体" w:hAnsi="宋体"/>
              </w:rPr>
              <w:t xml:space="preserve">IPS </w:t>
            </w:r>
            <w:r>
              <w:rPr>
                <w:rFonts w:hint="eastAsia" w:ascii="宋体" w:hAnsi="宋体"/>
              </w:rPr>
              <w:t>入侵保护系统，需下一代防火墙的</w:t>
            </w:r>
            <w:r>
              <w:rPr>
                <w:rFonts w:ascii="宋体" w:hAnsi="宋体"/>
              </w:rPr>
              <w:t xml:space="preserve"> IPS </w:t>
            </w:r>
            <w:r>
              <w:rPr>
                <w:rFonts w:hint="eastAsia" w:ascii="宋体" w:hAnsi="宋体"/>
              </w:rPr>
              <w:t>功能模块</w:t>
            </w:r>
          </w:p>
        </w:tc>
      </w:tr>
      <w:tr w14:paraId="09899993">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61840A9F">
            <w:pPr>
              <w:pStyle w:val="10"/>
              <w:jc w:val="center"/>
              <w:rPr>
                <w:rFonts w:ascii="宋体" w:hAnsi="宋体"/>
              </w:rPr>
            </w:pPr>
            <w:r>
              <w:rPr>
                <w:rFonts w:hint="eastAsia" w:ascii="宋体" w:hAnsi="宋体"/>
              </w:rPr>
              <w:t>网络恶意代码防范</w:t>
            </w:r>
          </w:p>
        </w:tc>
        <w:tc>
          <w:tcPr>
            <w:tcW w:w="4979" w:type="dxa"/>
            <w:tcBorders>
              <w:top w:val="nil"/>
              <w:left w:val="nil"/>
              <w:bottom w:val="single" w:color="auto" w:sz="4" w:space="0"/>
              <w:right w:val="single" w:color="auto" w:sz="4" w:space="0"/>
            </w:tcBorders>
            <w:shd w:val="clear" w:color="auto" w:fill="auto"/>
            <w:vAlign w:val="center"/>
          </w:tcPr>
          <w:p w14:paraId="301765E1">
            <w:pPr>
              <w:pStyle w:val="10"/>
              <w:jc w:val="center"/>
              <w:rPr>
                <w:rFonts w:ascii="宋体" w:hAnsi="宋体"/>
              </w:rPr>
            </w:pPr>
            <w:r>
              <w:rPr>
                <w:rFonts w:hint="eastAsia" w:ascii="宋体" w:hAnsi="宋体"/>
              </w:rPr>
              <w:t>防病毒网关（</w:t>
            </w:r>
            <w:r>
              <w:rPr>
                <w:rFonts w:ascii="宋体" w:hAnsi="宋体"/>
              </w:rPr>
              <w:t xml:space="preserve">IPS </w:t>
            </w:r>
            <w:r>
              <w:rPr>
                <w:rFonts w:hint="eastAsia" w:ascii="宋体" w:hAnsi="宋体"/>
              </w:rPr>
              <w:t>及网络</w:t>
            </w:r>
            <w:r>
              <w:rPr>
                <w:rFonts w:ascii="宋体" w:hAnsi="宋体"/>
              </w:rPr>
              <w:t>/</w:t>
            </w:r>
            <w:r>
              <w:rPr>
                <w:rFonts w:hint="eastAsia" w:ascii="宋体" w:hAnsi="宋体"/>
              </w:rPr>
              <w:t>主机病毒防范）需下一代防火墙的</w:t>
            </w:r>
            <w:r>
              <w:rPr>
                <w:rFonts w:ascii="宋体" w:hAnsi="宋体"/>
              </w:rPr>
              <w:t xml:space="preserve"> IPS </w:t>
            </w:r>
            <w:r>
              <w:rPr>
                <w:rFonts w:hint="eastAsia" w:ascii="宋体" w:hAnsi="宋体"/>
              </w:rPr>
              <w:t>功能模块和防病毒功能模块</w:t>
            </w:r>
          </w:p>
        </w:tc>
      </w:tr>
      <w:tr w14:paraId="569EA5DB">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41D11C5D">
            <w:pPr>
              <w:pStyle w:val="10"/>
              <w:jc w:val="center"/>
              <w:rPr>
                <w:rFonts w:ascii="宋体" w:hAnsi="宋体"/>
              </w:rPr>
            </w:pPr>
            <w:r>
              <w:rPr>
                <w:rFonts w:hint="eastAsia" w:ascii="宋体" w:hAnsi="宋体"/>
              </w:rPr>
              <w:t>网络设备防护</w:t>
            </w:r>
          </w:p>
        </w:tc>
        <w:tc>
          <w:tcPr>
            <w:tcW w:w="4979" w:type="dxa"/>
            <w:tcBorders>
              <w:top w:val="nil"/>
              <w:left w:val="nil"/>
              <w:bottom w:val="single" w:color="auto" w:sz="4" w:space="0"/>
              <w:right w:val="single" w:color="auto" w:sz="4" w:space="0"/>
            </w:tcBorders>
            <w:shd w:val="clear" w:color="auto" w:fill="auto"/>
            <w:vAlign w:val="center"/>
          </w:tcPr>
          <w:p w14:paraId="241E41E2">
            <w:pPr>
              <w:pStyle w:val="10"/>
              <w:jc w:val="center"/>
              <w:rPr>
                <w:rFonts w:ascii="宋体" w:hAnsi="宋体"/>
              </w:rPr>
            </w:pPr>
            <w:r>
              <w:rPr>
                <w:rFonts w:hint="eastAsia" w:ascii="宋体" w:hAnsi="宋体"/>
              </w:rPr>
              <w:t>通过运维审计系统来实现</w:t>
            </w:r>
          </w:p>
        </w:tc>
      </w:tr>
      <w:tr w14:paraId="5066BB4D">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667A7409">
            <w:pPr>
              <w:pStyle w:val="10"/>
              <w:jc w:val="center"/>
              <w:rPr>
                <w:rFonts w:ascii="宋体" w:hAnsi="宋体"/>
              </w:rPr>
            </w:pPr>
            <w:r>
              <w:rPr>
                <w:rFonts w:hint="eastAsia" w:ascii="宋体" w:hAnsi="宋体"/>
              </w:rPr>
              <w:t>主机身份鉴别</w:t>
            </w:r>
          </w:p>
        </w:tc>
        <w:tc>
          <w:tcPr>
            <w:tcW w:w="4979" w:type="dxa"/>
            <w:tcBorders>
              <w:top w:val="nil"/>
              <w:left w:val="nil"/>
              <w:bottom w:val="single" w:color="auto" w:sz="4" w:space="0"/>
              <w:right w:val="single" w:color="auto" w:sz="4" w:space="0"/>
            </w:tcBorders>
            <w:shd w:val="clear" w:color="auto" w:fill="auto"/>
            <w:vAlign w:val="center"/>
          </w:tcPr>
          <w:p w14:paraId="09BC6CD5">
            <w:pPr>
              <w:pStyle w:val="10"/>
              <w:jc w:val="center"/>
              <w:rPr>
                <w:rFonts w:ascii="宋体" w:hAnsi="宋体"/>
              </w:rPr>
            </w:pPr>
            <w:r>
              <w:rPr>
                <w:rFonts w:hint="eastAsia" w:ascii="宋体" w:hAnsi="宋体"/>
              </w:rPr>
              <w:t>需部署</w:t>
            </w:r>
            <w:r>
              <w:rPr>
                <w:rFonts w:ascii="宋体" w:hAnsi="宋体"/>
              </w:rPr>
              <w:t xml:space="preserve"> CA </w:t>
            </w:r>
            <w:r>
              <w:rPr>
                <w:rFonts w:hint="eastAsia" w:ascii="宋体" w:hAnsi="宋体"/>
              </w:rPr>
              <w:t>系统，安全准入系统</w:t>
            </w:r>
          </w:p>
        </w:tc>
      </w:tr>
      <w:tr w14:paraId="008992DC">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15042239">
            <w:pPr>
              <w:pStyle w:val="10"/>
              <w:jc w:val="center"/>
              <w:rPr>
                <w:rFonts w:ascii="宋体" w:hAnsi="宋体"/>
              </w:rPr>
            </w:pPr>
            <w:r>
              <w:rPr>
                <w:rFonts w:hint="eastAsia" w:ascii="宋体" w:hAnsi="宋体"/>
              </w:rPr>
              <w:t>主机安全审计</w:t>
            </w:r>
          </w:p>
        </w:tc>
        <w:tc>
          <w:tcPr>
            <w:tcW w:w="4979" w:type="dxa"/>
            <w:tcBorders>
              <w:top w:val="nil"/>
              <w:left w:val="nil"/>
              <w:bottom w:val="single" w:color="auto" w:sz="4" w:space="0"/>
              <w:right w:val="single" w:color="auto" w:sz="4" w:space="0"/>
            </w:tcBorders>
            <w:shd w:val="clear" w:color="auto" w:fill="auto"/>
            <w:vAlign w:val="center"/>
          </w:tcPr>
          <w:p w14:paraId="6EFF490E">
            <w:pPr>
              <w:pStyle w:val="10"/>
              <w:jc w:val="center"/>
              <w:rPr>
                <w:rFonts w:ascii="宋体" w:hAnsi="宋体"/>
              </w:rPr>
            </w:pPr>
            <w:r>
              <w:rPr>
                <w:rFonts w:hint="eastAsia" w:ascii="宋体" w:hAnsi="宋体"/>
              </w:rPr>
              <w:t>可通过部署网络安全管理平台来实现统一的安全审计，也可以直接由安全设备自身的管理页面和配置、告警信息来实现（后者工作量大，实时性差）。</w:t>
            </w:r>
          </w:p>
        </w:tc>
      </w:tr>
      <w:tr w14:paraId="1342B04C">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2FE31F89">
            <w:pPr>
              <w:pStyle w:val="10"/>
              <w:jc w:val="center"/>
              <w:rPr>
                <w:rFonts w:ascii="宋体" w:hAnsi="宋体"/>
              </w:rPr>
            </w:pPr>
            <w:r>
              <w:rPr>
                <w:rFonts w:hint="eastAsia" w:ascii="宋体" w:hAnsi="宋体"/>
              </w:rPr>
              <w:t>主机访问控制</w:t>
            </w:r>
          </w:p>
        </w:tc>
        <w:tc>
          <w:tcPr>
            <w:tcW w:w="4979" w:type="dxa"/>
            <w:tcBorders>
              <w:top w:val="nil"/>
              <w:left w:val="nil"/>
              <w:bottom w:val="single" w:color="auto" w:sz="4" w:space="0"/>
              <w:right w:val="single" w:color="auto" w:sz="4" w:space="0"/>
            </w:tcBorders>
            <w:shd w:val="clear" w:color="auto" w:fill="auto"/>
            <w:vAlign w:val="center"/>
          </w:tcPr>
          <w:p w14:paraId="588EA27F">
            <w:pPr>
              <w:pStyle w:val="10"/>
              <w:jc w:val="center"/>
              <w:rPr>
                <w:rFonts w:ascii="宋体" w:hAnsi="宋体"/>
              </w:rPr>
            </w:pPr>
            <w:r>
              <w:rPr>
                <w:rFonts w:hint="eastAsia" w:ascii="宋体" w:hAnsi="宋体"/>
              </w:rPr>
              <w:t>防火墙结合主机操作系统本身技术可以实现。需下一代防火墙</w:t>
            </w:r>
          </w:p>
        </w:tc>
      </w:tr>
      <w:tr w14:paraId="023BE6E7">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41E41191">
            <w:pPr>
              <w:pStyle w:val="10"/>
              <w:jc w:val="center"/>
              <w:rPr>
                <w:rFonts w:ascii="宋体" w:hAnsi="宋体"/>
              </w:rPr>
            </w:pPr>
            <w:r>
              <w:rPr>
                <w:rFonts w:hint="eastAsia" w:ascii="宋体" w:hAnsi="宋体"/>
              </w:rPr>
              <w:t>主机入侵防范</w:t>
            </w:r>
          </w:p>
        </w:tc>
        <w:tc>
          <w:tcPr>
            <w:tcW w:w="4979" w:type="dxa"/>
            <w:tcBorders>
              <w:top w:val="nil"/>
              <w:left w:val="nil"/>
              <w:bottom w:val="single" w:color="auto" w:sz="4" w:space="0"/>
              <w:right w:val="single" w:color="auto" w:sz="4" w:space="0"/>
            </w:tcBorders>
            <w:shd w:val="clear" w:color="auto" w:fill="auto"/>
            <w:vAlign w:val="center"/>
          </w:tcPr>
          <w:p w14:paraId="6E70317D">
            <w:pPr>
              <w:pStyle w:val="10"/>
              <w:jc w:val="center"/>
              <w:rPr>
                <w:rFonts w:ascii="宋体" w:hAnsi="宋体"/>
              </w:rPr>
            </w:pPr>
            <w:r>
              <w:rPr>
                <w:rFonts w:hint="eastAsia" w:ascii="宋体" w:hAnsi="宋体"/>
              </w:rPr>
              <w:t>入侵保护系统结合运控系统技术；主机文件系统备份及集群技术。需部署漏洞扫描系统</w:t>
            </w:r>
          </w:p>
        </w:tc>
      </w:tr>
      <w:tr w14:paraId="089BB472">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6DE0BADC">
            <w:pPr>
              <w:pStyle w:val="10"/>
              <w:jc w:val="center"/>
              <w:rPr>
                <w:rFonts w:ascii="宋体" w:hAnsi="宋体"/>
              </w:rPr>
            </w:pPr>
            <w:r>
              <w:rPr>
                <w:rFonts w:hint="eastAsia" w:ascii="宋体" w:hAnsi="宋体"/>
              </w:rPr>
              <w:t>主机恶意代码防范</w:t>
            </w:r>
          </w:p>
        </w:tc>
        <w:tc>
          <w:tcPr>
            <w:tcW w:w="4979" w:type="dxa"/>
            <w:tcBorders>
              <w:top w:val="nil"/>
              <w:left w:val="nil"/>
              <w:bottom w:val="single" w:color="auto" w:sz="4" w:space="0"/>
              <w:right w:val="single" w:color="auto" w:sz="4" w:space="0"/>
            </w:tcBorders>
            <w:shd w:val="clear" w:color="auto" w:fill="auto"/>
            <w:vAlign w:val="center"/>
          </w:tcPr>
          <w:p w14:paraId="15ADB6BF">
            <w:pPr>
              <w:pStyle w:val="10"/>
              <w:jc w:val="center"/>
              <w:rPr>
                <w:rFonts w:ascii="宋体" w:hAnsi="宋体"/>
              </w:rPr>
            </w:pPr>
            <w:r>
              <w:rPr>
                <w:rFonts w:hint="eastAsia" w:ascii="宋体" w:hAnsi="宋体"/>
              </w:rPr>
              <w:t>防病毒</w:t>
            </w:r>
            <w:r>
              <w:rPr>
                <w:rFonts w:ascii="宋体" w:hAnsi="宋体"/>
              </w:rPr>
              <w:t>/</w:t>
            </w:r>
            <w:r>
              <w:rPr>
                <w:rFonts w:hint="eastAsia" w:ascii="宋体" w:hAnsi="宋体"/>
              </w:rPr>
              <w:t>网页防篡改，部署与网关处不同品牌防病毒软件</w:t>
            </w:r>
          </w:p>
        </w:tc>
      </w:tr>
      <w:tr w14:paraId="593FAE7A">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5E0BB372">
            <w:pPr>
              <w:pStyle w:val="10"/>
              <w:jc w:val="center"/>
              <w:rPr>
                <w:rFonts w:ascii="宋体" w:hAnsi="宋体"/>
              </w:rPr>
            </w:pPr>
            <w:r>
              <w:rPr>
                <w:rFonts w:hint="eastAsia" w:ascii="宋体" w:hAnsi="宋体"/>
              </w:rPr>
              <w:t>主机资源控制</w:t>
            </w:r>
          </w:p>
        </w:tc>
        <w:tc>
          <w:tcPr>
            <w:tcW w:w="4979" w:type="dxa"/>
            <w:tcBorders>
              <w:top w:val="nil"/>
              <w:left w:val="nil"/>
              <w:bottom w:val="single" w:color="auto" w:sz="4" w:space="0"/>
              <w:right w:val="single" w:color="auto" w:sz="4" w:space="0"/>
            </w:tcBorders>
            <w:shd w:val="clear" w:color="auto" w:fill="auto"/>
            <w:vAlign w:val="center"/>
          </w:tcPr>
          <w:p w14:paraId="49C1A553">
            <w:pPr>
              <w:pStyle w:val="10"/>
              <w:jc w:val="center"/>
              <w:rPr>
                <w:rFonts w:ascii="宋体" w:hAnsi="宋体"/>
              </w:rPr>
            </w:pPr>
            <w:r>
              <w:rPr>
                <w:rFonts w:hint="eastAsia" w:ascii="宋体" w:hAnsi="宋体"/>
              </w:rPr>
              <w:t>运控系统、防火墙、主机操作系统结合技术实现。</w:t>
            </w:r>
          </w:p>
        </w:tc>
      </w:tr>
      <w:tr w14:paraId="04DE7996">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3F8BFF8C">
            <w:pPr>
              <w:pStyle w:val="10"/>
              <w:jc w:val="center"/>
              <w:rPr>
                <w:rFonts w:ascii="宋体" w:hAnsi="宋体"/>
              </w:rPr>
            </w:pPr>
            <w:r>
              <w:rPr>
                <w:rFonts w:ascii="宋体" w:hAnsi="宋体"/>
              </w:rPr>
              <w:t>Web</w:t>
            </w:r>
            <w:r>
              <w:rPr>
                <w:rFonts w:hint="eastAsia" w:ascii="宋体" w:hAnsi="宋体"/>
              </w:rPr>
              <w:t>应用安全</w:t>
            </w:r>
          </w:p>
        </w:tc>
        <w:tc>
          <w:tcPr>
            <w:tcW w:w="4979" w:type="dxa"/>
            <w:tcBorders>
              <w:top w:val="nil"/>
              <w:left w:val="nil"/>
              <w:bottom w:val="single" w:color="auto" w:sz="4" w:space="0"/>
              <w:right w:val="single" w:color="auto" w:sz="4" w:space="0"/>
            </w:tcBorders>
            <w:shd w:val="clear" w:color="auto" w:fill="auto"/>
            <w:vAlign w:val="center"/>
          </w:tcPr>
          <w:p w14:paraId="58B77CA5">
            <w:pPr>
              <w:pStyle w:val="10"/>
              <w:jc w:val="center"/>
              <w:rPr>
                <w:rFonts w:ascii="宋体" w:hAnsi="宋体"/>
              </w:rPr>
            </w:pPr>
            <w:r>
              <w:rPr>
                <w:rFonts w:hint="eastAsia" w:ascii="宋体" w:hAnsi="宋体"/>
              </w:rPr>
              <w:t>部署</w:t>
            </w:r>
            <w:r>
              <w:rPr>
                <w:rFonts w:ascii="宋体" w:hAnsi="宋体"/>
              </w:rPr>
              <w:t xml:space="preserve"> web </w:t>
            </w:r>
            <w:r>
              <w:rPr>
                <w:rFonts w:hint="eastAsia" w:ascii="宋体" w:hAnsi="宋体"/>
              </w:rPr>
              <w:t>应用防火墙</w:t>
            </w:r>
          </w:p>
        </w:tc>
      </w:tr>
      <w:tr w14:paraId="220BB533">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6D9B270E">
            <w:pPr>
              <w:pStyle w:val="10"/>
              <w:jc w:val="center"/>
              <w:rPr>
                <w:rFonts w:ascii="宋体" w:hAnsi="宋体"/>
              </w:rPr>
            </w:pPr>
            <w:r>
              <w:rPr>
                <w:rFonts w:hint="eastAsia" w:ascii="宋体" w:hAnsi="宋体"/>
              </w:rPr>
              <w:t>应用身份鉴别</w:t>
            </w:r>
          </w:p>
        </w:tc>
        <w:tc>
          <w:tcPr>
            <w:tcW w:w="4979" w:type="dxa"/>
            <w:tcBorders>
              <w:top w:val="nil"/>
              <w:left w:val="nil"/>
              <w:bottom w:val="single" w:color="auto" w:sz="4" w:space="0"/>
              <w:right w:val="single" w:color="auto" w:sz="4" w:space="0"/>
            </w:tcBorders>
            <w:shd w:val="clear" w:color="auto" w:fill="auto"/>
            <w:vAlign w:val="center"/>
          </w:tcPr>
          <w:p w14:paraId="12905BFC">
            <w:pPr>
              <w:pStyle w:val="10"/>
              <w:jc w:val="center"/>
              <w:rPr>
                <w:rFonts w:ascii="宋体" w:hAnsi="宋体"/>
              </w:rPr>
            </w:pPr>
            <w:r>
              <w:rPr>
                <w:rFonts w:hint="eastAsia" w:ascii="宋体" w:hAnsi="宋体"/>
              </w:rPr>
              <w:t>需部署</w:t>
            </w:r>
            <w:r>
              <w:rPr>
                <w:rFonts w:ascii="宋体" w:hAnsi="宋体"/>
              </w:rPr>
              <w:t xml:space="preserve"> CA </w:t>
            </w:r>
            <w:r>
              <w:rPr>
                <w:rFonts w:hint="eastAsia" w:ascii="宋体" w:hAnsi="宋体"/>
              </w:rPr>
              <w:t>系统，安全准入系统</w:t>
            </w:r>
          </w:p>
        </w:tc>
      </w:tr>
      <w:tr w14:paraId="74F4FF50">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5D22684C">
            <w:pPr>
              <w:pStyle w:val="10"/>
              <w:jc w:val="center"/>
              <w:rPr>
                <w:rFonts w:ascii="宋体" w:hAnsi="宋体"/>
              </w:rPr>
            </w:pPr>
            <w:r>
              <w:rPr>
                <w:rFonts w:hint="eastAsia" w:ascii="宋体" w:hAnsi="宋体"/>
              </w:rPr>
              <w:t>应用访问控制</w:t>
            </w:r>
          </w:p>
        </w:tc>
        <w:tc>
          <w:tcPr>
            <w:tcW w:w="4979" w:type="dxa"/>
            <w:tcBorders>
              <w:top w:val="nil"/>
              <w:left w:val="nil"/>
              <w:bottom w:val="single" w:color="auto" w:sz="4" w:space="0"/>
              <w:right w:val="single" w:color="auto" w:sz="4" w:space="0"/>
            </w:tcBorders>
            <w:shd w:val="clear" w:color="auto" w:fill="auto"/>
            <w:vAlign w:val="center"/>
          </w:tcPr>
          <w:p w14:paraId="26386401">
            <w:pPr>
              <w:pStyle w:val="10"/>
              <w:jc w:val="center"/>
              <w:rPr>
                <w:rFonts w:ascii="宋体" w:hAnsi="宋体"/>
              </w:rPr>
            </w:pPr>
            <w:r>
              <w:rPr>
                <w:rFonts w:hint="eastAsia" w:ascii="宋体" w:hAnsi="宋体"/>
              </w:rPr>
              <w:t>应用用户权限控制，可结合下一代防火墙实现</w:t>
            </w:r>
          </w:p>
        </w:tc>
      </w:tr>
      <w:tr w14:paraId="4252459D">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77CC6CF6">
            <w:pPr>
              <w:pStyle w:val="10"/>
              <w:jc w:val="center"/>
              <w:rPr>
                <w:rFonts w:ascii="宋体" w:hAnsi="宋体"/>
              </w:rPr>
            </w:pPr>
            <w:r>
              <w:rPr>
                <w:rFonts w:hint="eastAsia" w:ascii="宋体" w:hAnsi="宋体"/>
              </w:rPr>
              <w:t>资源控制</w:t>
            </w:r>
          </w:p>
        </w:tc>
        <w:tc>
          <w:tcPr>
            <w:tcW w:w="4979" w:type="dxa"/>
            <w:tcBorders>
              <w:top w:val="nil"/>
              <w:left w:val="nil"/>
              <w:bottom w:val="single" w:color="auto" w:sz="4" w:space="0"/>
              <w:right w:val="single" w:color="auto" w:sz="4" w:space="0"/>
            </w:tcBorders>
            <w:shd w:val="clear" w:color="auto" w:fill="auto"/>
            <w:vAlign w:val="center"/>
          </w:tcPr>
          <w:p w14:paraId="6FA5660E">
            <w:pPr>
              <w:pStyle w:val="10"/>
              <w:jc w:val="center"/>
              <w:rPr>
                <w:rFonts w:ascii="宋体" w:hAnsi="宋体"/>
              </w:rPr>
            </w:pPr>
            <w:r>
              <w:rPr>
                <w:rFonts w:hint="eastAsia" w:ascii="宋体" w:hAnsi="宋体"/>
              </w:rPr>
              <w:t>部署的应用系统应具备此功能</w:t>
            </w:r>
          </w:p>
        </w:tc>
      </w:tr>
      <w:tr w14:paraId="6620D707">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425021CF">
            <w:pPr>
              <w:pStyle w:val="10"/>
              <w:jc w:val="center"/>
              <w:rPr>
                <w:rFonts w:ascii="宋体" w:hAnsi="宋体"/>
              </w:rPr>
            </w:pPr>
            <w:r>
              <w:rPr>
                <w:rFonts w:hint="eastAsia" w:ascii="宋体" w:hAnsi="宋体"/>
              </w:rPr>
              <w:t>应用完整性、保密性、抗抵赖性</w:t>
            </w:r>
          </w:p>
        </w:tc>
        <w:tc>
          <w:tcPr>
            <w:tcW w:w="4979" w:type="dxa"/>
            <w:tcBorders>
              <w:top w:val="nil"/>
              <w:left w:val="nil"/>
              <w:bottom w:val="single" w:color="auto" w:sz="4" w:space="0"/>
              <w:right w:val="single" w:color="auto" w:sz="4" w:space="0"/>
            </w:tcBorders>
            <w:shd w:val="clear" w:color="auto" w:fill="auto"/>
            <w:vAlign w:val="center"/>
          </w:tcPr>
          <w:p w14:paraId="03988439">
            <w:pPr>
              <w:pStyle w:val="10"/>
              <w:jc w:val="center"/>
              <w:rPr>
                <w:rFonts w:ascii="宋体" w:hAnsi="宋体"/>
              </w:rPr>
            </w:pPr>
            <w:r>
              <w:rPr>
                <w:rFonts w:hint="eastAsia" w:ascii="宋体" w:hAnsi="宋体"/>
              </w:rPr>
              <w:t>（推荐使用加密机）</w:t>
            </w:r>
          </w:p>
        </w:tc>
      </w:tr>
      <w:tr w14:paraId="0B50E9D3">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6D7251B2">
            <w:pPr>
              <w:pStyle w:val="10"/>
              <w:jc w:val="center"/>
              <w:rPr>
                <w:rFonts w:ascii="宋体" w:hAnsi="宋体"/>
              </w:rPr>
            </w:pPr>
            <w:r>
              <w:rPr>
                <w:rFonts w:hint="eastAsia" w:ascii="宋体" w:hAnsi="宋体"/>
              </w:rPr>
              <w:t>数据安全及备份恢复</w:t>
            </w:r>
          </w:p>
        </w:tc>
        <w:tc>
          <w:tcPr>
            <w:tcW w:w="4979" w:type="dxa"/>
            <w:tcBorders>
              <w:top w:val="nil"/>
              <w:left w:val="nil"/>
              <w:bottom w:val="single" w:color="auto" w:sz="4" w:space="0"/>
              <w:right w:val="single" w:color="auto" w:sz="4" w:space="0"/>
            </w:tcBorders>
            <w:shd w:val="clear" w:color="auto" w:fill="auto"/>
            <w:vAlign w:val="center"/>
          </w:tcPr>
          <w:p w14:paraId="64B7D7A2">
            <w:pPr>
              <w:pStyle w:val="10"/>
              <w:jc w:val="center"/>
              <w:rPr>
                <w:rFonts w:ascii="宋体" w:hAnsi="宋体"/>
              </w:rPr>
            </w:pPr>
            <w:r>
              <w:rPr>
                <w:rFonts w:hint="eastAsia" w:ascii="宋体" w:hAnsi="宋体"/>
              </w:rPr>
              <w:t>（推荐使用</w:t>
            </w:r>
            <w:r>
              <w:rPr>
                <w:rFonts w:ascii="宋体" w:hAnsi="宋体"/>
              </w:rPr>
              <w:t xml:space="preserve"> CA </w:t>
            </w:r>
            <w:r>
              <w:rPr>
                <w:rFonts w:hint="eastAsia" w:ascii="宋体" w:hAnsi="宋体"/>
              </w:rPr>
              <w:t>系统）</w:t>
            </w:r>
          </w:p>
        </w:tc>
      </w:tr>
      <w:tr w14:paraId="406A5E9B">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237DA427">
            <w:pPr>
              <w:pStyle w:val="10"/>
              <w:jc w:val="center"/>
              <w:rPr>
                <w:rFonts w:ascii="宋体" w:hAnsi="宋体"/>
              </w:rPr>
            </w:pPr>
            <w:r>
              <w:rPr>
                <w:rFonts w:hint="eastAsia" w:ascii="宋体" w:hAnsi="宋体"/>
              </w:rPr>
              <w:t>应提供异地数据备份功能，利用通信网络将关键数据定时批量传送至备用场地；</w:t>
            </w:r>
          </w:p>
        </w:tc>
        <w:tc>
          <w:tcPr>
            <w:tcW w:w="4979" w:type="dxa"/>
            <w:tcBorders>
              <w:top w:val="nil"/>
              <w:left w:val="nil"/>
              <w:bottom w:val="single" w:color="auto" w:sz="4" w:space="0"/>
              <w:right w:val="single" w:color="auto" w:sz="4" w:space="0"/>
            </w:tcBorders>
            <w:shd w:val="clear" w:color="auto" w:fill="auto"/>
            <w:vAlign w:val="center"/>
          </w:tcPr>
          <w:p w14:paraId="2277DA89">
            <w:pPr>
              <w:pStyle w:val="10"/>
              <w:jc w:val="center"/>
              <w:rPr>
                <w:rFonts w:ascii="宋体" w:hAnsi="宋体"/>
              </w:rPr>
            </w:pPr>
          </w:p>
        </w:tc>
      </w:tr>
      <w:tr w14:paraId="64231CC0">
        <w:tblPrEx>
          <w:tblCellMar>
            <w:top w:w="0" w:type="dxa"/>
            <w:left w:w="108" w:type="dxa"/>
            <w:bottom w:w="0" w:type="dxa"/>
            <w:right w:w="108" w:type="dxa"/>
          </w:tblCellMar>
        </w:tblPrEx>
        <w:tc>
          <w:tcPr>
            <w:tcW w:w="3549" w:type="dxa"/>
            <w:tcBorders>
              <w:top w:val="nil"/>
              <w:left w:val="single" w:color="auto" w:sz="4" w:space="0"/>
              <w:bottom w:val="single" w:color="auto" w:sz="4" w:space="0"/>
              <w:right w:val="single" w:color="auto" w:sz="4" w:space="0"/>
            </w:tcBorders>
            <w:shd w:val="clear" w:color="auto" w:fill="auto"/>
            <w:vAlign w:val="center"/>
          </w:tcPr>
          <w:p w14:paraId="40CF998C">
            <w:pPr>
              <w:pStyle w:val="10"/>
              <w:jc w:val="center"/>
              <w:rPr>
                <w:rFonts w:ascii="宋体" w:hAnsi="宋体"/>
              </w:rPr>
            </w:pPr>
            <w:r>
              <w:rPr>
                <w:rFonts w:hint="eastAsia" w:ascii="宋体" w:hAnsi="宋体"/>
              </w:rPr>
              <w:t>应采用冗余技术设计网络拓扑结构，避免关键节点存在单点故障；应提供主要网络设备、通信线路和数据处理系统的硬件冗余，保证系统的高可用性。</w:t>
            </w:r>
          </w:p>
        </w:tc>
        <w:tc>
          <w:tcPr>
            <w:tcW w:w="4979" w:type="dxa"/>
            <w:tcBorders>
              <w:top w:val="nil"/>
              <w:left w:val="nil"/>
              <w:bottom w:val="single" w:color="auto" w:sz="4" w:space="0"/>
              <w:right w:val="single" w:color="auto" w:sz="4" w:space="0"/>
            </w:tcBorders>
            <w:shd w:val="clear" w:color="auto" w:fill="auto"/>
            <w:vAlign w:val="center"/>
          </w:tcPr>
          <w:p w14:paraId="69A897E2">
            <w:pPr>
              <w:pStyle w:val="10"/>
              <w:jc w:val="center"/>
              <w:rPr>
                <w:rFonts w:ascii="宋体" w:hAnsi="宋体"/>
              </w:rPr>
            </w:pPr>
          </w:p>
        </w:tc>
      </w:tr>
    </w:tbl>
    <w:p w14:paraId="4C1BB224">
      <w:pPr>
        <w:pStyle w:val="5"/>
        <w:numPr>
          <w:ilvl w:val="0"/>
          <w:numId w:val="4"/>
        </w:numPr>
        <w:ind w:left="425" w:leftChars="0" w:hanging="425" w:firstLineChars="0"/>
        <w:rPr>
          <w:rFonts w:hint="eastAsia"/>
        </w:rPr>
      </w:pPr>
      <w:r>
        <w:rPr>
          <w:rFonts w:hint="eastAsia"/>
        </w:rPr>
        <w:t>对应国家三级等级管理的措施</w:t>
      </w:r>
    </w:p>
    <w:tbl>
      <w:tblPr>
        <w:tblStyle w:val="6"/>
        <w:tblW w:w="8528" w:type="dxa"/>
        <w:tblInd w:w="0" w:type="dxa"/>
        <w:tblLayout w:type="fixed"/>
        <w:tblCellMar>
          <w:top w:w="0" w:type="dxa"/>
          <w:left w:w="108" w:type="dxa"/>
          <w:bottom w:w="0" w:type="dxa"/>
          <w:right w:w="108" w:type="dxa"/>
        </w:tblCellMar>
      </w:tblPr>
      <w:tblGrid>
        <w:gridCol w:w="3491"/>
        <w:gridCol w:w="5037"/>
      </w:tblGrid>
      <w:tr w14:paraId="6B275377">
        <w:tblPrEx>
          <w:tblCellMar>
            <w:top w:w="0" w:type="dxa"/>
            <w:left w:w="108" w:type="dxa"/>
            <w:bottom w:w="0" w:type="dxa"/>
            <w:right w:w="108" w:type="dxa"/>
          </w:tblCellMar>
        </w:tblPrEx>
        <w:trPr>
          <w:tblHeader/>
        </w:trPr>
        <w:tc>
          <w:tcPr>
            <w:tcW w:w="3491" w:type="dxa"/>
            <w:tcBorders>
              <w:top w:val="single" w:color="auto" w:sz="4" w:space="0"/>
              <w:left w:val="single" w:color="auto" w:sz="4" w:space="0"/>
              <w:bottom w:val="single" w:color="auto" w:sz="4" w:space="0"/>
              <w:right w:val="single" w:color="auto" w:sz="4" w:space="0"/>
            </w:tcBorders>
            <w:shd w:val="clear" w:color="auto" w:fill="BFBFBF"/>
            <w:vAlign w:val="center"/>
          </w:tcPr>
          <w:p w14:paraId="660BC10F">
            <w:pPr>
              <w:pStyle w:val="9"/>
              <w:rPr>
                <w:rFonts w:ascii="宋体" w:hAnsi="宋体"/>
              </w:rPr>
            </w:pPr>
            <w:r>
              <w:rPr>
                <w:rFonts w:hint="eastAsia" w:ascii="宋体" w:hAnsi="宋体"/>
              </w:rPr>
              <w:t>三级等级保护的主要管理要求</w:t>
            </w:r>
          </w:p>
        </w:tc>
        <w:tc>
          <w:tcPr>
            <w:tcW w:w="5037" w:type="dxa"/>
            <w:tcBorders>
              <w:top w:val="single" w:color="auto" w:sz="4" w:space="0"/>
              <w:left w:val="nil"/>
              <w:bottom w:val="single" w:color="auto" w:sz="4" w:space="0"/>
              <w:right w:val="single" w:color="auto" w:sz="4" w:space="0"/>
            </w:tcBorders>
            <w:shd w:val="clear" w:color="auto" w:fill="BFBFBF"/>
            <w:vAlign w:val="center"/>
          </w:tcPr>
          <w:p w14:paraId="0A883C2D">
            <w:pPr>
              <w:pStyle w:val="9"/>
              <w:rPr>
                <w:rFonts w:ascii="宋体" w:hAnsi="宋体"/>
              </w:rPr>
            </w:pPr>
            <w:r>
              <w:rPr>
                <w:rFonts w:hint="eastAsia" w:ascii="宋体" w:hAnsi="宋体"/>
              </w:rPr>
              <w:t>方案采取的措施</w:t>
            </w:r>
          </w:p>
        </w:tc>
      </w:tr>
      <w:tr w14:paraId="50471B3D">
        <w:tblPrEx>
          <w:tblCellMar>
            <w:top w:w="0" w:type="dxa"/>
            <w:left w:w="108" w:type="dxa"/>
            <w:bottom w:w="0" w:type="dxa"/>
            <w:right w:w="108" w:type="dxa"/>
          </w:tblCellMar>
        </w:tblPrEx>
        <w:tc>
          <w:tcPr>
            <w:tcW w:w="3491" w:type="dxa"/>
            <w:tcBorders>
              <w:top w:val="nil"/>
              <w:left w:val="single" w:color="auto" w:sz="4" w:space="0"/>
              <w:bottom w:val="single" w:color="auto" w:sz="4" w:space="0"/>
              <w:right w:val="single" w:color="auto" w:sz="4" w:space="0"/>
            </w:tcBorders>
            <w:shd w:val="clear" w:color="auto" w:fill="auto"/>
            <w:vAlign w:val="center"/>
          </w:tcPr>
          <w:p w14:paraId="441AD4A4">
            <w:pPr>
              <w:pStyle w:val="10"/>
              <w:jc w:val="center"/>
              <w:rPr>
                <w:rFonts w:ascii="宋体" w:hAnsi="宋体"/>
              </w:rPr>
            </w:pPr>
            <w:r>
              <w:rPr>
                <w:rFonts w:hint="eastAsia" w:ascii="宋体" w:hAnsi="宋体"/>
              </w:rPr>
              <w:t>资产管理</w:t>
            </w:r>
          </w:p>
        </w:tc>
        <w:tc>
          <w:tcPr>
            <w:tcW w:w="5037" w:type="dxa"/>
            <w:tcBorders>
              <w:top w:val="nil"/>
              <w:left w:val="nil"/>
              <w:bottom w:val="single" w:color="auto" w:sz="4" w:space="0"/>
              <w:right w:val="single" w:color="auto" w:sz="4" w:space="0"/>
            </w:tcBorders>
            <w:shd w:val="clear" w:color="auto" w:fill="auto"/>
            <w:vAlign w:val="center"/>
          </w:tcPr>
          <w:p w14:paraId="0D16DC95">
            <w:pPr>
              <w:pStyle w:val="10"/>
              <w:jc w:val="center"/>
              <w:rPr>
                <w:rFonts w:ascii="宋体" w:hAnsi="宋体"/>
              </w:rPr>
            </w:pPr>
            <w:r>
              <w:rPr>
                <w:rFonts w:hint="eastAsia" w:ascii="宋体" w:hAnsi="宋体"/>
              </w:rPr>
              <w:t>网管平台或者</w:t>
            </w:r>
            <w:r>
              <w:rPr>
                <w:rFonts w:ascii="宋体" w:hAnsi="宋体"/>
              </w:rPr>
              <w:t xml:space="preserve"> web </w:t>
            </w:r>
            <w:r>
              <w:rPr>
                <w:rFonts w:hint="eastAsia" w:ascii="宋体" w:hAnsi="宋体"/>
              </w:rPr>
              <w:t>界面人工管理</w:t>
            </w:r>
          </w:p>
        </w:tc>
      </w:tr>
      <w:tr w14:paraId="06BB17ED">
        <w:tblPrEx>
          <w:tblCellMar>
            <w:top w:w="0" w:type="dxa"/>
            <w:left w:w="108" w:type="dxa"/>
            <w:bottom w:w="0" w:type="dxa"/>
            <w:right w:w="108" w:type="dxa"/>
          </w:tblCellMar>
        </w:tblPrEx>
        <w:tc>
          <w:tcPr>
            <w:tcW w:w="3491" w:type="dxa"/>
            <w:tcBorders>
              <w:top w:val="nil"/>
              <w:left w:val="single" w:color="auto" w:sz="4" w:space="0"/>
              <w:bottom w:val="single" w:color="auto" w:sz="4" w:space="0"/>
              <w:right w:val="single" w:color="auto" w:sz="4" w:space="0"/>
            </w:tcBorders>
            <w:shd w:val="clear" w:color="auto" w:fill="auto"/>
            <w:vAlign w:val="center"/>
          </w:tcPr>
          <w:p w14:paraId="3B6DE5D2">
            <w:pPr>
              <w:pStyle w:val="10"/>
              <w:jc w:val="center"/>
              <w:rPr>
                <w:rFonts w:ascii="宋体" w:hAnsi="宋体"/>
              </w:rPr>
            </w:pPr>
            <w:r>
              <w:rPr>
                <w:rFonts w:hint="eastAsia" w:ascii="宋体" w:hAnsi="宋体"/>
              </w:rPr>
              <w:t>监控管理</w:t>
            </w:r>
          </w:p>
        </w:tc>
        <w:tc>
          <w:tcPr>
            <w:tcW w:w="5037" w:type="dxa"/>
            <w:tcBorders>
              <w:top w:val="nil"/>
              <w:left w:val="nil"/>
              <w:bottom w:val="single" w:color="auto" w:sz="4" w:space="0"/>
              <w:right w:val="single" w:color="auto" w:sz="4" w:space="0"/>
            </w:tcBorders>
            <w:shd w:val="clear" w:color="auto" w:fill="auto"/>
            <w:vAlign w:val="center"/>
          </w:tcPr>
          <w:p w14:paraId="54004E24">
            <w:pPr>
              <w:pStyle w:val="10"/>
              <w:jc w:val="center"/>
              <w:rPr>
                <w:rFonts w:ascii="宋体" w:hAnsi="宋体"/>
              </w:rPr>
            </w:pPr>
            <w:r>
              <w:rPr>
                <w:rFonts w:hint="eastAsia" w:ascii="宋体" w:hAnsi="宋体"/>
              </w:rPr>
              <w:t>网管平台或者</w:t>
            </w:r>
            <w:r>
              <w:rPr>
                <w:rFonts w:ascii="宋体" w:hAnsi="宋体"/>
              </w:rPr>
              <w:t xml:space="preserve"> web </w:t>
            </w:r>
            <w:r>
              <w:rPr>
                <w:rFonts w:hint="eastAsia" w:ascii="宋体" w:hAnsi="宋体"/>
              </w:rPr>
              <w:t>界面人工管理</w:t>
            </w:r>
          </w:p>
        </w:tc>
      </w:tr>
      <w:tr w14:paraId="1262CE8E">
        <w:tblPrEx>
          <w:tblCellMar>
            <w:top w:w="0" w:type="dxa"/>
            <w:left w:w="108" w:type="dxa"/>
            <w:bottom w:w="0" w:type="dxa"/>
            <w:right w:w="108" w:type="dxa"/>
          </w:tblCellMar>
        </w:tblPrEx>
        <w:tc>
          <w:tcPr>
            <w:tcW w:w="3491" w:type="dxa"/>
            <w:tcBorders>
              <w:top w:val="nil"/>
              <w:left w:val="single" w:color="auto" w:sz="4" w:space="0"/>
              <w:bottom w:val="single" w:color="auto" w:sz="4" w:space="0"/>
              <w:right w:val="single" w:color="auto" w:sz="4" w:space="0"/>
            </w:tcBorders>
            <w:shd w:val="clear" w:color="auto" w:fill="auto"/>
            <w:vAlign w:val="center"/>
          </w:tcPr>
          <w:p w14:paraId="1EFE1BD0">
            <w:pPr>
              <w:pStyle w:val="10"/>
              <w:jc w:val="center"/>
              <w:rPr>
                <w:rFonts w:ascii="宋体" w:hAnsi="宋体"/>
              </w:rPr>
            </w:pPr>
            <w:r>
              <w:rPr>
                <w:rFonts w:hint="eastAsia" w:ascii="宋体" w:hAnsi="宋体"/>
              </w:rPr>
              <w:t>网络安全管理</w:t>
            </w:r>
          </w:p>
        </w:tc>
        <w:tc>
          <w:tcPr>
            <w:tcW w:w="5037" w:type="dxa"/>
            <w:tcBorders>
              <w:top w:val="nil"/>
              <w:left w:val="nil"/>
              <w:bottom w:val="single" w:color="auto" w:sz="4" w:space="0"/>
              <w:right w:val="single" w:color="auto" w:sz="4" w:space="0"/>
            </w:tcBorders>
            <w:shd w:val="clear" w:color="auto" w:fill="auto"/>
            <w:vAlign w:val="center"/>
          </w:tcPr>
          <w:p w14:paraId="00BC5591">
            <w:pPr>
              <w:pStyle w:val="10"/>
              <w:jc w:val="center"/>
              <w:rPr>
                <w:rFonts w:ascii="宋体" w:hAnsi="宋体"/>
              </w:rPr>
            </w:pPr>
            <w:r>
              <w:rPr>
                <w:rFonts w:hint="eastAsia" w:ascii="宋体" w:hAnsi="宋体"/>
              </w:rPr>
              <w:t>管理设备软件管理，配置文件管理，漏洞扫描</w:t>
            </w:r>
          </w:p>
        </w:tc>
      </w:tr>
      <w:tr w14:paraId="61E505FC">
        <w:tblPrEx>
          <w:tblCellMar>
            <w:top w:w="0" w:type="dxa"/>
            <w:left w:w="108" w:type="dxa"/>
            <w:bottom w:w="0" w:type="dxa"/>
            <w:right w:w="108" w:type="dxa"/>
          </w:tblCellMar>
        </w:tblPrEx>
        <w:tc>
          <w:tcPr>
            <w:tcW w:w="3491" w:type="dxa"/>
            <w:tcBorders>
              <w:top w:val="nil"/>
              <w:left w:val="single" w:color="auto" w:sz="4" w:space="0"/>
              <w:bottom w:val="single" w:color="auto" w:sz="4" w:space="0"/>
              <w:right w:val="single" w:color="auto" w:sz="4" w:space="0"/>
            </w:tcBorders>
            <w:shd w:val="clear" w:color="auto" w:fill="auto"/>
            <w:vAlign w:val="center"/>
          </w:tcPr>
          <w:p w14:paraId="5E1A20B1">
            <w:pPr>
              <w:pStyle w:val="10"/>
              <w:jc w:val="center"/>
              <w:rPr>
                <w:rFonts w:ascii="宋体" w:hAnsi="宋体"/>
              </w:rPr>
            </w:pPr>
            <w:r>
              <w:rPr>
                <w:rFonts w:hint="eastAsia" w:ascii="宋体" w:hAnsi="宋体"/>
              </w:rPr>
              <w:t>恶意代码防范管理</w:t>
            </w:r>
          </w:p>
        </w:tc>
        <w:tc>
          <w:tcPr>
            <w:tcW w:w="5037" w:type="dxa"/>
            <w:tcBorders>
              <w:top w:val="nil"/>
              <w:left w:val="nil"/>
              <w:bottom w:val="single" w:color="auto" w:sz="4" w:space="0"/>
              <w:right w:val="single" w:color="auto" w:sz="4" w:space="0"/>
            </w:tcBorders>
            <w:shd w:val="clear" w:color="auto" w:fill="auto"/>
            <w:vAlign w:val="center"/>
          </w:tcPr>
          <w:p w14:paraId="27374BE0">
            <w:pPr>
              <w:pStyle w:val="10"/>
              <w:jc w:val="center"/>
              <w:rPr>
                <w:rFonts w:ascii="宋体" w:hAnsi="宋体"/>
              </w:rPr>
            </w:pPr>
            <w:r>
              <w:rPr>
                <w:rFonts w:hint="eastAsia" w:ascii="宋体" w:hAnsi="宋体"/>
              </w:rPr>
              <w:t>下一代防火墙</w:t>
            </w:r>
          </w:p>
        </w:tc>
      </w:tr>
      <w:tr w14:paraId="6D771856">
        <w:tblPrEx>
          <w:tblCellMar>
            <w:top w:w="0" w:type="dxa"/>
            <w:left w:w="108" w:type="dxa"/>
            <w:bottom w:w="0" w:type="dxa"/>
            <w:right w:w="108" w:type="dxa"/>
          </w:tblCellMar>
        </w:tblPrEx>
        <w:tc>
          <w:tcPr>
            <w:tcW w:w="3491" w:type="dxa"/>
            <w:tcBorders>
              <w:top w:val="nil"/>
              <w:left w:val="single" w:color="auto" w:sz="4" w:space="0"/>
              <w:bottom w:val="single" w:color="auto" w:sz="4" w:space="0"/>
              <w:right w:val="single" w:color="auto" w:sz="4" w:space="0"/>
            </w:tcBorders>
            <w:shd w:val="clear" w:color="auto" w:fill="auto"/>
            <w:vAlign w:val="center"/>
          </w:tcPr>
          <w:p w14:paraId="5B24BEC1">
            <w:pPr>
              <w:pStyle w:val="10"/>
              <w:jc w:val="center"/>
              <w:rPr>
                <w:rFonts w:ascii="宋体" w:hAnsi="宋体"/>
              </w:rPr>
            </w:pPr>
            <w:r>
              <w:rPr>
                <w:rFonts w:hint="eastAsia" w:ascii="宋体" w:hAnsi="宋体"/>
              </w:rPr>
              <w:t>密码管理</w:t>
            </w:r>
          </w:p>
        </w:tc>
        <w:tc>
          <w:tcPr>
            <w:tcW w:w="5037" w:type="dxa"/>
            <w:tcBorders>
              <w:top w:val="nil"/>
              <w:left w:val="nil"/>
              <w:bottom w:val="single" w:color="auto" w:sz="4" w:space="0"/>
              <w:right w:val="single" w:color="auto" w:sz="4" w:space="0"/>
            </w:tcBorders>
            <w:shd w:val="clear" w:color="auto" w:fill="auto"/>
            <w:vAlign w:val="center"/>
          </w:tcPr>
          <w:p w14:paraId="7319E9C3">
            <w:pPr>
              <w:pStyle w:val="10"/>
              <w:jc w:val="center"/>
              <w:rPr>
                <w:rFonts w:ascii="宋体" w:hAnsi="宋体"/>
              </w:rPr>
            </w:pPr>
            <w:r>
              <w:rPr>
                <w:rFonts w:hint="eastAsia" w:ascii="宋体" w:hAnsi="宋体"/>
              </w:rPr>
              <w:t>通过</w:t>
            </w:r>
            <w:r>
              <w:rPr>
                <w:rFonts w:ascii="宋体" w:hAnsi="宋体"/>
              </w:rPr>
              <w:t xml:space="preserve"> ca </w:t>
            </w:r>
            <w:r>
              <w:rPr>
                <w:rFonts w:hint="eastAsia" w:ascii="宋体" w:hAnsi="宋体"/>
              </w:rPr>
              <w:t>系统</w:t>
            </w:r>
            <w:r>
              <w:rPr>
                <w:rFonts w:ascii="宋体" w:hAnsi="宋体"/>
              </w:rPr>
              <w:t>/</w:t>
            </w:r>
            <w:r>
              <w:rPr>
                <w:rFonts w:hint="eastAsia" w:ascii="宋体" w:hAnsi="宋体"/>
              </w:rPr>
              <w:t>加密机实现</w:t>
            </w:r>
          </w:p>
        </w:tc>
      </w:tr>
      <w:tr w14:paraId="007F36D5">
        <w:tblPrEx>
          <w:tblCellMar>
            <w:top w:w="0" w:type="dxa"/>
            <w:left w:w="108" w:type="dxa"/>
            <w:bottom w:w="0" w:type="dxa"/>
            <w:right w:w="108" w:type="dxa"/>
          </w:tblCellMar>
        </w:tblPrEx>
        <w:tc>
          <w:tcPr>
            <w:tcW w:w="3491" w:type="dxa"/>
            <w:tcBorders>
              <w:top w:val="nil"/>
              <w:left w:val="single" w:color="auto" w:sz="4" w:space="0"/>
              <w:bottom w:val="single" w:color="auto" w:sz="4" w:space="0"/>
              <w:right w:val="single" w:color="auto" w:sz="4" w:space="0"/>
            </w:tcBorders>
            <w:shd w:val="clear" w:color="auto" w:fill="auto"/>
            <w:vAlign w:val="center"/>
          </w:tcPr>
          <w:p w14:paraId="6E37E3FB">
            <w:pPr>
              <w:pStyle w:val="10"/>
              <w:jc w:val="center"/>
              <w:rPr>
                <w:rFonts w:ascii="宋体" w:hAnsi="宋体"/>
              </w:rPr>
            </w:pPr>
            <w:r>
              <w:rPr>
                <w:rFonts w:hint="eastAsia" w:ascii="宋体" w:hAnsi="宋体"/>
              </w:rPr>
              <w:t>变更管理</w:t>
            </w:r>
          </w:p>
        </w:tc>
        <w:tc>
          <w:tcPr>
            <w:tcW w:w="5037" w:type="dxa"/>
            <w:tcBorders>
              <w:top w:val="nil"/>
              <w:left w:val="nil"/>
              <w:bottom w:val="single" w:color="auto" w:sz="4" w:space="0"/>
              <w:right w:val="single" w:color="auto" w:sz="4" w:space="0"/>
            </w:tcBorders>
            <w:shd w:val="clear" w:color="auto" w:fill="auto"/>
            <w:vAlign w:val="center"/>
          </w:tcPr>
          <w:p w14:paraId="1716CD7F">
            <w:pPr>
              <w:pStyle w:val="10"/>
              <w:jc w:val="center"/>
              <w:rPr>
                <w:rFonts w:ascii="宋体" w:hAnsi="宋体"/>
              </w:rPr>
            </w:pPr>
            <w:r>
              <w:rPr>
                <w:rFonts w:hint="eastAsia" w:ascii="宋体" w:hAnsi="宋体"/>
              </w:rPr>
              <w:t>运维审计统</w:t>
            </w:r>
          </w:p>
        </w:tc>
      </w:tr>
      <w:tr w14:paraId="6A1B795B">
        <w:tblPrEx>
          <w:tblCellMar>
            <w:top w:w="0" w:type="dxa"/>
            <w:left w:w="108" w:type="dxa"/>
            <w:bottom w:w="0" w:type="dxa"/>
            <w:right w:w="108" w:type="dxa"/>
          </w:tblCellMar>
        </w:tblPrEx>
        <w:tc>
          <w:tcPr>
            <w:tcW w:w="3491" w:type="dxa"/>
            <w:tcBorders>
              <w:top w:val="nil"/>
              <w:left w:val="single" w:color="auto" w:sz="4" w:space="0"/>
              <w:bottom w:val="single" w:color="auto" w:sz="4" w:space="0"/>
              <w:right w:val="single" w:color="auto" w:sz="4" w:space="0"/>
            </w:tcBorders>
            <w:shd w:val="clear" w:color="auto" w:fill="auto"/>
            <w:vAlign w:val="center"/>
          </w:tcPr>
          <w:p w14:paraId="18E519C5">
            <w:pPr>
              <w:pStyle w:val="10"/>
              <w:jc w:val="center"/>
              <w:rPr>
                <w:rFonts w:ascii="宋体" w:hAnsi="宋体"/>
              </w:rPr>
            </w:pPr>
            <w:r>
              <w:rPr>
                <w:rFonts w:hint="eastAsia" w:ascii="宋体" w:hAnsi="宋体"/>
              </w:rPr>
              <w:t>备份与恢复</w:t>
            </w:r>
          </w:p>
        </w:tc>
        <w:tc>
          <w:tcPr>
            <w:tcW w:w="5037" w:type="dxa"/>
            <w:tcBorders>
              <w:top w:val="nil"/>
              <w:left w:val="nil"/>
              <w:bottom w:val="single" w:color="auto" w:sz="4" w:space="0"/>
              <w:right w:val="single" w:color="auto" w:sz="4" w:space="0"/>
            </w:tcBorders>
            <w:shd w:val="clear" w:color="auto" w:fill="auto"/>
            <w:vAlign w:val="center"/>
          </w:tcPr>
          <w:p w14:paraId="6CF5FB84">
            <w:pPr>
              <w:pStyle w:val="10"/>
              <w:jc w:val="center"/>
              <w:rPr>
                <w:rFonts w:ascii="宋体" w:hAnsi="宋体"/>
              </w:rPr>
            </w:pPr>
            <w:r>
              <w:rPr>
                <w:rFonts w:hint="eastAsia" w:ascii="宋体" w:hAnsi="宋体"/>
              </w:rPr>
              <w:t>制定数据的备份策略和恢复策略</w:t>
            </w:r>
            <w:r>
              <w:rPr>
                <w:rFonts w:ascii="宋体" w:hAnsi="宋体"/>
              </w:rPr>
              <w:t>/</w:t>
            </w:r>
            <w:r>
              <w:rPr>
                <w:rFonts w:hint="eastAsia" w:ascii="宋体" w:hAnsi="宋体"/>
              </w:rPr>
              <w:t>备份过程应记录</w:t>
            </w:r>
            <w:r>
              <w:rPr>
                <w:rFonts w:ascii="宋体" w:hAnsi="宋体"/>
              </w:rPr>
              <w:t>/</w:t>
            </w:r>
            <w:r>
              <w:rPr>
                <w:rFonts w:hint="eastAsia" w:ascii="宋体" w:hAnsi="宋体"/>
              </w:rPr>
              <w:t>建立备份及冗余设备的安装、配置、启动、操作及维护过程控制的程序，记录设备运行过程状况（备份软件）</w:t>
            </w:r>
          </w:p>
        </w:tc>
      </w:tr>
    </w:tbl>
    <w:p w14:paraId="259AD4B3">
      <w:pPr>
        <w:pStyle w:val="3"/>
        <w:ind w:firstLine="480"/>
        <w:rPr>
          <w:rFonts w:ascii="宋体" w:hAnsi="宋体"/>
        </w:rPr>
      </w:pPr>
    </w:p>
    <w:p w14:paraId="6B4D23FA">
      <w:pPr>
        <w:pStyle w:val="4"/>
        <w:numPr>
          <w:ilvl w:val="0"/>
          <w:numId w:val="2"/>
        </w:numPr>
        <w:tabs>
          <w:tab w:val="left" w:pos="1008"/>
        </w:tabs>
        <w:ind w:left="0" w:leftChars="0" w:firstLine="420" w:firstLineChars="0"/>
      </w:pPr>
      <w:r>
        <w:rPr>
          <w:rFonts w:hint="eastAsia"/>
        </w:rPr>
        <w:t>安全</w:t>
      </w:r>
      <w:r>
        <w:rPr>
          <w:rFonts w:hint="eastAsia"/>
          <w:lang w:val="en-US"/>
        </w:rPr>
        <w:t>环境</w:t>
      </w:r>
      <w:r>
        <w:rPr>
          <w:rFonts w:hint="eastAsia"/>
        </w:rPr>
        <w:t>设计</w:t>
      </w:r>
      <w:bookmarkEnd w:id="4"/>
    </w:p>
    <w:p w14:paraId="6321DC85">
      <w:pPr>
        <w:pStyle w:val="5"/>
        <w:numPr>
          <w:ilvl w:val="0"/>
          <w:numId w:val="5"/>
        </w:numPr>
        <w:ind w:left="425" w:leftChars="0" w:hanging="425" w:firstLineChars="0"/>
      </w:pPr>
      <w:bookmarkStart w:id="5" w:name="_Toc14341317"/>
      <w:r>
        <w:rPr>
          <w:rFonts w:hint="eastAsia"/>
        </w:rPr>
        <w:t>防</w:t>
      </w:r>
      <w:r>
        <w:t>火墙</w:t>
      </w:r>
      <w:r>
        <w:rPr>
          <w:rFonts w:hint="eastAsia"/>
        </w:rPr>
        <w:t>安全</w:t>
      </w:r>
      <w:r>
        <w:t>设计</w:t>
      </w:r>
      <w:bookmarkEnd w:id="5"/>
    </w:p>
    <w:p w14:paraId="4F6CCA6D">
      <w:pPr>
        <w:pStyle w:val="8"/>
        <w:ind w:firstLine="480"/>
      </w:pPr>
      <w:r>
        <w:rPr>
          <w:rFonts w:hint="eastAsia"/>
        </w:rPr>
        <w:t>部署一台多功能安全防火墙，实现防火墙、VPN、防病毒、入侵防御等</w:t>
      </w:r>
      <w:r>
        <w:t>多</w:t>
      </w:r>
      <w:r>
        <w:rPr>
          <w:rFonts w:hint="eastAsia"/>
        </w:rPr>
        <w:t>种设备的功能，从而降低了设备成本和管理成本，能够从网络层到应用层对</w:t>
      </w:r>
      <w:r>
        <w:rPr>
          <w:rFonts w:hint="eastAsia"/>
          <w:lang w:val="en-US"/>
        </w:rPr>
        <w:t>网络</w:t>
      </w:r>
      <w:r>
        <w:rPr>
          <w:rFonts w:hint="eastAsia"/>
        </w:rPr>
        <w:t>纵</w:t>
      </w:r>
      <w:r>
        <w:t>向边界</w:t>
      </w:r>
      <w:r>
        <w:rPr>
          <w:rFonts w:hint="eastAsia"/>
        </w:rPr>
        <w:t>提供全方位的安全保护。</w:t>
      </w:r>
    </w:p>
    <w:p w14:paraId="49663997">
      <w:pPr>
        <w:pStyle w:val="5"/>
        <w:numPr>
          <w:ilvl w:val="0"/>
          <w:numId w:val="5"/>
        </w:numPr>
        <w:ind w:left="425" w:leftChars="0" w:hanging="425" w:firstLineChars="0"/>
        <w:rPr>
          <w:rFonts w:hint="eastAsia"/>
        </w:rPr>
      </w:pPr>
      <w:bookmarkStart w:id="6" w:name="_Toc14341318"/>
      <w:r>
        <w:rPr>
          <w:rFonts w:hint="eastAsia"/>
        </w:rPr>
        <w:t>IDS入侵检测</w:t>
      </w:r>
      <w:r>
        <w:rPr>
          <w:rFonts w:hint="eastAsia"/>
        </w:rPr>
        <w:t>安全设计</w:t>
      </w:r>
      <w:bookmarkEnd w:id="6"/>
    </w:p>
    <w:p w14:paraId="51BDC380">
      <w:pPr>
        <w:pStyle w:val="8"/>
        <w:ind w:firstLine="480"/>
      </w:pPr>
      <w:r>
        <w:rPr>
          <w:rFonts w:hint="eastAsia"/>
        </w:rPr>
        <w:t>在安全网络域的核心交换机处部署IDS设备，实现内部网络区域入侵行为的报警与记录。</w:t>
      </w:r>
    </w:p>
    <w:p w14:paraId="64BB1081">
      <w:pPr>
        <w:pStyle w:val="5"/>
        <w:numPr>
          <w:ilvl w:val="0"/>
          <w:numId w:val="5"/>
        </w:numPr>
        <w:ind w:left="425" w:leftChars="0" w:hanging="425" w:firstLineChars="0"/>
        <w:rPr>
          <w:rFonts w:hint="eastAsia"/>
        </w:rPr>
      </w:pPr>
      <w:bookmarkStart w:id="7" w:name="_Toc14341319"/>
      <w:r>
        <w:rPr>
          <w:rFonts w:hint="eastAsia"/>
        </w:rPr>
        <w:t>数据库审计系统</w:t>
      </w:r>
      <w:bookmarkEnd w:id="7"/>
      <w:r>
        <w:rPr>
          <w:rFonts w:hint="eastAsia"/>
        </w:rPr>
        <w:t>设计</w:t>
      </w:r>
    </w:p>
    <w:p w14:paraId="31179253">
      <w:pPr>
        <w:pStyle w:val="8"/>
        <w:ind w:firstLine="480"/>
      </w:pPr>
      <w:r>
        <w:rPr>
          <w:rFonts w:hint="eastAsia"/>
        </w:rPr>
        <w:t>数据库审计部署为旁路监听模式，使用侦听数据库协议，审计的内容包括：访问时间、访问者IP、访问对象IP、双方端口、协议、内容、数据库操作、数据库信息等。</w:t>
      </w:r>
    </w:p>
    <w:p w14:paraId="45CF0973">
      <w:pPr>
        <w:pStyle w:val="8"/>
        <w:ind w:firstLine="480"/>
        <w:rPr>
          <w:rFonts w:hAnsi="宋体"/>
          <w:szCs w:val="24"/>
        </w:rPr>
      </w:pPr>
      <w:r>
        <w:rPr>
          <w:rFonts w:hint="eastAsia"/>
        </w:rPr>
        <w:t>网络审计系统能够全面详实地记录网络内流经监听出口的各种网络行为，以便进行事后的审计和分析。网络行为日志全面地记录了包括使用者、分组、访问时间、源IP地址、源端口、源MAC地址、目的IP地址、目的端口、访问类型、访问地址/标识等关键数据项。审计数据库用户登录事件，并记录用户账号信息；可实现对数据库的查询、创建、插入、删除、更新等常规数据库操作过程的审计，可还原用户操作过程；可实现数据库特权操作</w:t>
      </w:r>
      <w:r>
        <w:t>(</w:t>
      </w:r>
      <w:r>
        <w:rPr>
          <w:rFonts w:hint="eastAsia"/>
        </w:rPr>
        <w:t>如权限更改、备份与恢复等</w:t>
      </w:r>
      <w:r>
        <w:t>)</w:t>
      </w:r>
      <w:r>
        <w:rPr>
          <w:rFonts w:hint="eastAsia"/>
        </w:rPr>
        <w:t>的审计，可还原操作过程。</w:t>
      </w:r>
    </w:p>
    <w:p w14:paraId="19989BDC">
      <w:pPr>
        <w:pStyle w:val="5"/>
        <w:numPr>
          <w:ilvl w:val="0"/>
          <w:numId w:val="5"/>
        </w:numPr>
        <w:ind w:left="425" w:leftChars="0" w:hanging="425" w:firstLineChars="0"/>
        <w:rPr>
          <w:rFonts w:hint="eastAsia"/>
        </w:rPr>
      </w:pPr>
      <w:bookmarkStart w:id="8" w:name="_Toc14341320"/>
      <w:r>
        <w:rPr>
          <w:rFonts w:hint="eastAsia"/>
        </w:rPr>
        <w:t>终端安全管理系统设计</w:t>
      </w:r>
      <w:bookmarkEnd w:id="8"/>
    </w:p>
    <w:p w14:paraId="3FE0D139">
      <w:pPr>
        <w:pStyle w:val="8"/>
        <w:ind w:firstLine="480"/>
      </w:pPr>
      <w:r>
        <w:rPr>
          <w:rFonts w:hint="eastAsia"/>
        </w:rPr>
        <w:t>在用户办公终端上部署终端安全管理系统，主要实现内部办公终端用户接入域的主机安全防护、安全监控、外设管理、准入控制、安全审计、非法外连控制、安全检测、安全加固、安全响应和终端防泄密等。</w:t>
      </w:r>
    </w:p>
    <w:p w14:paraId="4C1DC8F9">
      <w:pPr>
        <w:pStyle w:val="5"/>
        <w:numPr>
          <w:ilvl w:val="0"/>
          <w:numId w:val="5"/>
        </w:numPr>
        <w:ind w:left="425" w:leftChars="0" w:hanging="425" w:firstLineChars="0"/>
        <w:rPr>
          <w:rFonts w:hint="eastAsia"/>
        </w:rPr>
      </w:pPr>
      <w:bookmarkStart w:id="9" w:name="_Toc14341321"/>
      <w:r>
        <w:rPr>
          <w:rFonts w:hint="eastAsia"/>
        </w:rPr>
        <w:t>防病毒安全设计</w:t>
      </w:r>
      <w:bookmarkEnd w:id="9"/>
    </w:p>
    <w:p w14:paraId="26773825">
      <w:pPr>
        <w:pStyle w:val="8"/>
        <w:ind w:firstLine="480"/>
      </w:pPr>
      <w:r>
        <w:rPr>
          <w:rFonts w:hint="eastAsia"/>
        </w:rPr>
        <w:t>针对病毒的风险，在各</w:t>
      </w:r>
      <w:r>
        <w:t>应用</w:t>
      </w:r>
      <w:r>
        <w:rPr>
          <w:rFonts w:hint="eastAsia"/>
        </w:rPr>
        <w:t>服务器</w:t>
      </w:r>
      <w:r>
        <w:t>、数据库</w:t>
      </w:r>
      <w:r>
        <w:rPr>
          <w:rFonts w:hint="eastAsia"/>
        </w:rPr>
        <w:t>服务器</w:t>
      </w:r>
      <w:r>
        <w:t>、</w:t>
      </w:r>
      <w:r>
        <w:rPr>
          <w:rFonts w:hint="eastAsia"/>
        </w:rPr>
        <w:t>用户</w:t>
      </w:r>
      <w:r>
        <w:t>终端</w:t>
      </w:r>
      <w:r>
        <w:rPr>
          <w:rFonts w:hint="eastAsia"/>
        </w:rPr>
        <w:t>等</w:t>
      </w:r>
      <w:r>
        <w:t>安装防病毒软件，有效查杀病毒、恶意脚本、木马、蠕虫等恶意代码。</w:t>
      </w:r>
      <w:r>
        <w:rPr>
          <w:rFonts w:hint="eastAsia"/>
        </w:rPr>
        <w:t>加强终端主机与服务器系统、网络出入口的病毒防护能力并及时升级恶意代码软件版本以及恶意代码库。使</w:t>
      </w:r>
      <w:r>
        <w:rPr>
          <w:rFonts w:hint="eastAsia"/>
          <w:lang w:val="en-US"/>
        </w:rPr>
        <w:t>网络</w:t>
      </w:r>
      <w:r>
        <w:rPr>
          <w:rFonts w:hint="eastAsia"/>
        </w:rPr>
        <w:t>免受病毒、特洛伊木马和其它恶意程序的侵袭，不让其有机会透过文件及数据的分享进而散布到整个网络环境，提供完整的病毒扫描防护功能。</w:t>
      </w:r>
    </w:p>
    <w:p w14:paraId="55478B24">
      <w:pPr>
        <w:pStyle w:val="8"/>
        <w:ind w:firstLine="480"/>
        <w:rPr>
          <w:rFonts w:hAnsi="宋体"/>
          <w:szCs w:val="24"/>
        </w:rPr>
      </w:pPr>
      <w:r>
        <w:rPr>
          <w:rFonts w:hint="eastAsia"/>
        </w:rPr>
        <w:t>本方案中部署网络版防病毒设备，在所有服务器及工作终端上部署防病毒客户端软件。</w:t>
      </w:r>
    </w:p>
    <w:p w14:paraId="549888D0">
      <w:pPr>
        <w:pStyle w:val="5"/>
        <w:numPr>
          <w:ilvl w:val="0"/>
          <w:numId w:val="5"/>
        </w:numPr>
        <w:ind w:left="425" w:leftChars="0" w:hanging="425" w:firstLineChars="0"/>
        <w:rPr>
          <w:rFonts w:hint="eastAsia"/>
        </w:rPr>
      </w:pPr>
      <w:bookmarkStart w:id="10" w:name="_Toc14341322"/>
      <w:r>
        <w:rPr>
          <w:rFonts w:hint="eastAsia"/>
        </w:rPr>
        <w:t>WEB</w:t>
      </w:r>
      <w:r>
        <w:rPr>
          <w:rFonts w:hint="eastAsia"/>
        </w:rPr>
        <w:t>应用</w:t>
      </w:r>
      <w:r>
        <w:rPr>
          <w:rFonts w:hint="eastAsia"/>
        </w:rPr>
        <w:t>安全防护</w:t>
      </w:r>
      <w:bookmarkEnd w:id="10"/>
    </w:p>
    <w:p w14:paraId="1D4D13A0">
      <w:pPr>
        <w:pStyle w:val="8"/>
        <w:ind w:firstLine="480"/>
      </w:pPr>
      <w:r>
        <w:rPr>
          <w:rFonts w:hint="eastAsia"/>
        </w:rPr>
        <w:t>部署W</w:t>
      </w:r>
      <w:r>
        <w:t>AF</w:t>
      </w:r>
      <w:r>
        <w:rPr>
          <w:rFonts w:hint="eastAsia"/>
        </w:rPr>
        <w:t>系统，即WEB应用防火墙。WAF系统采用透明模式部署在业务服务域前，通过实时扫描等技术，对本区域内的基于B/S结构的工作站进行实时监测和防护；对访问该区域WEB工作站的数据进行安全检查，一旦发现攻击行为立刻中断连接保护WEB工作站的安全。</w:t>
      </w:r>
    </w:p>
    <w:p w14:paraId="23119AD4">
      <w:pPr>
        <w:pStyle w:val="5"/>
        <w:numPr>
          <w:ilvl w:val="0"/>
          <w:numId w:val="5"/>
        </w:numPr>
        <w:ind w:left="425" w:leftChars="0" w:hanging="425" w:firstLineChars="0"/>
        <w:rPr>
          <w:rFonts w:hint="eastAsia"/>
        </w:rPr>
      </w:pPr>
      <w:bookmarkStart w:id="11" w:name="_Toc14341323"/>
      <w:r>
        <w:rPr>
          <w:rFonts w:hint="eastAsia"/>
        </w:rPr>
        <w:t>堡垒机系统设计</w:t>
      </w:r>
      <w:bookmarkEnd w:id="11"/>
    </w:p>
    <w:p w14:paraId="13D5DBA8">
      <w:pPr>
        <w:pStyle w:val="8"/>
        <w:ind w:firstLine="480"/>
      </w:pPr>
      <w:r>
        <w:rPr>
          <w:rFonts w:hint="eastAsia"/>
        </w:rPr>
        <w:t>采用物理旁路方式部署，不需改变现有网络结构，同时不需要在被管理设备上安装任何代理程序，只需确保堡垒主机和被管资源以及用户终端维护区域网络可达即可。终端维护区域用户通过http或https方式登录系统portal，经过用户身份认证后，通过资源列表单点登录至被管目标资源。</w:t>
      </w:r>
    </w:p>
    <w:p w14:paraId="3E7B9144">
      <w:pPr>
        <w:pStyle w:val="8"/>
        <w:ind w:firstLine="480"/>
        <w:rPr>
          <w:rFonts w:hAnsi="宋体"/>
          <w:szCs w:val="24"/>
        </w:rPr>
      </w:pPr>
      <w:r>
        <w:rPr>
          <w:rFonts w:hint="eastAsia"/>
        </w:rPr>
        <w:t>对业务环境下的用户运维操作进行控制和审计的合规性管控系统。它通过对自然人身份以及资源、资源账号的集中管理建立“自然人账号——资源——资源账号”对应关系，实现自然人对资源的统一授权，同时，对授权人员的运维操作进行记录、分析、展现，以帮助内控工作事前规划预防、事中实时监控、违规行为响应、事后合规报告、事故追踪回放，加强内部业务操作行为监管、避免核心资产（服务器、网络设备、安全设备等）损失，保障业务系统的正常运营。</w:t>
      </w:r>
    </w:p>
    <w:p w14:paraId="5B28B58D">
      <w:pPr>
        <w:pStyle w:val="5"/>
        <w:numPr>
          <w:ilvl w:val="0"/>
          <w:numId w:val="5"/>
        </w:numPr>
        <w:ind w:left="425" w:leftChars="0" w:hanging="425" w:firstLineChars="0"/>
        <w:rPr>
          <w:rFonts w:hint="eastAsia"/>
        </w:rPr>
      </w:pPr>
      <w:bookmarkStart w:id="12" w:name="_Toc14341324"/>
      <w:r>
        <w:rPr>
          <w:rFonts w:hint="eastAsia"/>
        </w:rPr>
        <w:t>日志审计系统安全设计</w:t>
      </w:r>
      <w:bookmarkEnd w:id="12"/>
    </w:p>
    <w:p w14:paraId="37BDA372">
      <w:pPr>
        <w:pStyle w:val="8"/>
        <w:ind w:firstLine="480"/>
        <w:rPr>
          <w:rFonts w:hAnsi="宋体"/>
          <w:szCs w:val="24"/>
        </w:rPr>
      </w:pPr>
      <w:r>
        <w:rPr>
          <w:rFonts w:hint="eastAsia"/>
        </w:rPr>
        <w:t>日志审计系统通过监测及采集信息系统中的系统安全事件、用户访问行为、系统运行日志、系统运行状态等各类信息，经过规范化、过滤、归并和告警分析等处理后，以统一格式的日志形式进行集中存储和管理，同时保留原始的日志信息和日志格式，以便事后分析取证用，结合丰富的日志分析综合显示功能，实现对信息系统整体安全状况的全面管理。</w:t>
      </w:r>
    </w:p>
    <w:p w14:paraId="6FB831D9">
      <w:pPr>
        <w:pStyle w:val="5"/>
        <w:numPr>
          <w:ilvl w:val="0"/>
          <w:numId w:val="5"/>
        </w:numPr>
        <w:ind w:left="425" w:leftChars="0" w:hanging="425" w:firstLineChars="0"/>
        <w:rPr>
          <w:rFonts w:hint="eastAsia"/>
        </w:rPr>
      </w:pPr>
      <w:bookmarkStart w:id="13" w:name="_Toc479688452"/>
      <w:bookmarkStart w:id="14" w:name="_Toc14341325"/>
      <w:r>
        <w:rPr>
          <w:rFonts w:hint="eastAsia"/>
        </w:rPr>
        <w:t>漏洞扫描</w:t>
      </w:r>
      <w:bookmarkEnd w:id="13"/>
      <w:r>
        <w:rPr>
          <w:rFonts w:hint="eastAsia"/>
        </w:rPr>
        <w:t>系统</w:t>
      </w:r>
      <w:bookmarkEnd w:id="14"/>
      <w:r>
        <w:rPr>
          <w:rFonts w:hint="eastAsia"/>
        </w:rPr>
        <w:t>设计</w:t>
      </w:r>
    </w:p>
    <w:p w14:paraId="6F6C7B2B">
      <w:pPr>
        <w:pStyle w:val="8"/>
        <w:ind w:firstLine="480"/>
      </w:pPr>
      <w:r>
        <w:rPr>
          <w:rFonts w:hint="eastAsia"/>
        </w:rPr>
        <w:t>漏洞扫描系统是一种主动检测本地或远程主机系统安全性弱点的程序，采用模仿黑客入侵的手法对目标网络中的服务器、应用系统、数据库等各种系统以及路由器、交换机、防火墙等网络设备可能存在的安全漏洞进行逐项检查，测试该系统上有没有安全漏洞存在，然后将扫描结果向系统管理员提供周密可靠的安全性分析报告，从而让管理人员从扫描出来的安全漏洞报告中了解网络中服务器提供的各种服务及这些服务呈现在网络上的安全漏洞，在系统安全防护中做到"有的放矢"，及时修补漏洞，从根本上解决网络安全问题，有效地阻止入侵事件的发生。</w:t>
      </w:r>
    </w:p>
    <w:p w14:paraId="299F8A2F">
      <w:pPr>
        <w:pStyle w:val="8"/>
        <w:ind w:firstLine="480"/>
        <w:rPr>
          <w:rFonts w:hAnsi="宋体"/>
          <w:szCs w:val="24"/>
        </w:rPr>
      </w:pPr>
      <w:r>
        <w:rPr>
          <w:rFonts w:hint="eastAsia"/>
        </w:rPr>
        <w:t>在应用业务及生产核心系统网络通过旁路监听方式部署漏洞扫描设备。漏洞扫描设备在网络中并不是一个实时启动的系统，只需要定期挂接到网络中，对当前网段上的重点服务器以及主要的桌面机和网络设备进行一次扫描，即可得到当前系统中存在的各种安全漏洞，针对性地对系统采取补救措施，即可在相当一段时间内保证系统的安全。</w:t>
      </w:r>
    </w:p>
    <w:p w14:paraId="275B7CF9">
      <w:pPr>
        <w:pStyle w:val="5"/>
        <w:numPr>
          <w:ilvl w:val="0"/>
          <w:numId w:val="5"/>
        </w:numPr>
        <w:ind w:left="425" w:leftChars="0" w:hanging="425" w:firstLineChars="0"/>
        <w:rPr>
          <w:rFonts w:hint="eastAsia"/>
        </w:rPr>
      </w:pPr>
      <w:r>
        <w:rPr>
          <w:rFonts w:hint="eastAsia"/>
        </w:rPr>
        <w:t>云安全计算环境</w:t>
      </w:r>
      <w:r>
        <w:rPr>
          <w:rFonts w:hint="eastAsia"/>
          <w:lang w:val="en-US"/>
        </w:rPr>
        <w:t>设计</w:t>
      </w:r>
    </w:p>
    <w:p w14:paraId="59191332">
      <w:pPr>
        <w:pStyle w:val="3"/>
        <w:ind w:firstLine="480"/>
        <w:rPr>
          <w:rFonts w:ascii="宋体" w:hAnsi="宋体"/>
          <w:lang w:val="en-US"/>
        </w:rPr>
      </w:pPr>
      <w:r>
        <w:rPr>
          <w:rFonts w:hint="eastAsia" w:ascii="宋体" w:hAnsi="宋体"/>
          <w:lang w:val="en-US"/>
        </w:rPr>
        <w:t>云平台及虚拟化平台应实现虚拟机之间的CPU、内存和存储空间安全隔离，能检测到非授权管理虚拟机等情况，并进行告警;应禁止虛拟机对宿主机物理资源的直接访问，应能对异常访问进行告警;应支持不同云租户虛拟化网络之间安全隔离;应监控物理机、宿主机、虚拟机的运行状态。</w:t>
      </w:r>
    </w:p>
    <w:p w14:paraId="71976E9F">
      <w:pPr>
        <w:pStyle w:val="3"/>
        <w:ind w:firstLine="480"/>
        <w:rPr>
          <w:rFonts w:ascii="宋体" w:hAnsi="宋体"/>
          <w:lang w:val="en-US"/>
        </w:rPr>
      </w:pPr>
      <w:r>
        <w:rPr>
          <w:rFonts w:hint="eastAsia" w:ascii="宋体" w:hAnsi="宋体"/>
          <w:lang w:val="en-US"/>
        </w:rPr>
        <w:t>同时云平台利用网络安全设备实现以下目标：</w:t>
      </w:r>
    </w:p>
    <w:p w14:paraId="2AB4CBBB">
      <w:pPr>
        <w:pStyle w:val="3"/>
        <w:numPr>
          <w:ilvl w:val="0"/>
          <w:numId w:val="6"/>
        </w:numPr>
        <w:ind w:firstLine="480"/>
        <w:rPr>
          <w:rFonts w:ascii="宋体" w:hAnsi="宋体"/>
        </w:rPr>
      </w:pPr>
      <w:r>
        <w:rPr>
          <w:rFonts w:hint="eastAsia" w:ascii="宋体" w:hAnsi="宋体"/>
        </w:rPr>
        <w:t>用户身份鉴别；</w:t>
      </w:r>
    </w:p>
    <w:p w14:paraId="2926744E">
      <w:pPr>
        <w:pStyle w:val="3"/>
        <w:numPr>
          <w:ilvl w:val="0"/>
          <w:numId w:val="6"/>
        </w:numPr>
        <w:ind w:firstLine="480"/>
        <w:rPr>
          <w:rFonts w:ascii="宋体" w:hAnsi="宋体"/>
        </w:rPr>
      </w:pPr>
      <w:r>
        <w:rPr>
          <w:rFonts w:hint="eastAsia" w:ascii="宋体" w:hAnsi="宋体"/>
        </w:rPr>
        <w:t>入侵防范应能检测到虚拟机对宿主机物理资源的异常访问；</w:t>
      </w:r>
    </w:p>
    <w:p w14:paraId="2979F006">
      <w:pPr>
        <w:pStyle w:val="3"/>
        <w:numPr>
          <w:ilvl w:val="0"/>
          <w:numId w:val="6"/>
        </w:numPr>
        <w:ind w:firstLine="480"/>
        <w:rPr>
          <w:rFonts w:ascii="宋体" w:hAnsi="宋体"/>
        </w:rPr>
      </w:pPr>
      <w:r>
        <w:rPr>
          <w:rFonts w:hint="eastAsia" w:ascii="宋体" w:hAnsi="宋体"/>
        </w:rPr>
        <w:t>数据保密性保护应提供重要业务数据加密服务；</w:t>
      </w:r>
    </w:p>
    <w:p w14:paraId="7516DA1A">
      <w:pPr>
        <w:pStyle w:val="3"/>
        <w:numPr>
          <w:ilvl w:val="0"/>
          <w:numId w:val="6"/>
        </w:numPr>
        <w:ind w:firstLine="480"/>
        <w:rPr>
          <w:rFonts w:ascii="宋体" w:hAnsi="宋体"/>
        </w:rPr>
      </w:pPr>
      <w:r>
        <w:rPr>
          <w:rFonts w:hint="eastAsia" w:ascii="宋体" w:hAnsi="宋体"/>
        </w:rPr>
        <w:t>数据备份与恢复；</w:t>
      </w:r>
    </w:p>
    <w:p w14:paraId="2A13889A">
      <w:pPr>
        <w:pStyle w:val="3"/>
        <w:numPr>
          <w:ilvl w:val="0"/>
          <w:numId w:val="6"/>
        </w:numPr>
        <w:ind w:firstLine="480"/>
        <w:rPr>
          <w:rFonts w:ascii="宋体" w:hAnsi="宋体"/>
        </w:rPr>
      </w:pPr>
      <w:r>
        <w:rPr>
          <w:rFonts w:hint="eastAsia" w:ascii="宋体" w:hAnsi="宋体"/>
          <w:lang w:val="en-US"/>
        </w:rPr>
        <w:t>恶意代码防范物理机和宿主机应安装经过安全加固的操作系统或进行主机恶意代码防范。</w:t>
      </w:r>
    </w:p>
    <w:p w14:paraId="2E0C4306">
      <w:pPr>
        <w:pStyle w:val="5"/>
        <w:numPr>
          <w:ilvl w:val="0"/>
          <w:numId w:val="5"/>
        </w:numPr>
        <w:ind w:left="425" w:leftChars="0" w:hanging="425" w:firstLineChars="0"/>
        <w:rPr>
          <w:rFonts w:hint="eastAsia"/>
        </w:rPr>
      </w:pPr>
      <w:r>
        <w:rPr>
          <w:rFonts w:hint="eastAsia"/>
        </w:rPr>
        <w:t>移动互联安全</w:t>
      </w:r>
      <w:r>
        <w:rPr>
          <w:rFonts w:hint="eastAsia"/>
          <w:lang w:val="en-US"/>
        </w:rPr>
        <w:t>设计</w:t>
      </w:r>
    </w:p>
    <w:p w14:paraId="21530B89">
      <w:pPr>
        <w:pStyle w:val="3"/>
        <w:ind w:firstLine="480"/>
        <w:rPr>
          <w:rFonts w:ascii="宋体" w:hAnsi="宋体"/>
          <w:lang w:val="en-US"/>
        </w:rPr>
      </w:pPr>
      <w:r>
        <w:rPr>
          <w:rFonts w:hint="eastAsia" w:ascii="宋体" w:hAnsi="宋体"/>
          <w:lang w:val="en-US"/>
        </w:rPr>
        <w:t>业务应用应实现以下功能：</w:t>
      </w:r>
    </w:p>
    <w:p w14:paraId="1B434780">
      <w:pPr>
        <w:pStyle w:val="3"/>
        <w:numPr>
          <w:ilvl w:val="0"/>
          <w:numId w:val="7"/>
        </w:numPr>
        <w:ind w:firstLine="480"/>
        <w:rPr>
          <w:rFonts w:ascii="宋体" w:hAnsi="宋体"/>
          <w:lang w:val="en-US"/>
        </w:rPr>
      </w:pPr>
      <w:r>
        <w:rPr>
          <w:rFonts w:hint="eastAsia" w:ascii="宋体" w:hAnsi="宋体"/>
          <w:lang w:val="en-US"/>
        </w:rPr>
        <w:t>用户身份鉴别</w:t>
      </w:r>
      <w:bookmarkStart w:id="15" w:name="_GoBack"/>
      <w:bookmarkEnd w:id="15"/>
      <w:r>
        <w:rPr>
          <w:rFonts w:hint="eastAsia" w:ascii="宋体" w:hAnsi="宋体"/>
          <w:lang w:val="en-US"/>
        </w:rPr>
        <w:t>应对移动终端用户实现基于口令或解锁图案、数字证书或动态口令、生物特征等方式的两种或两种以上的组合机制进行用户身份鉴别；</w:t>
      </w:r>
    </w:p>
    <w:p w14:paraId="347E6B39">
      <w:pPr>
        <w:pStyle w:val="3"/>
        <w:numPr>
          <w:ilvl w:val="0"/>
          <w:numId w:val="7"/>
        </w:numPr>
        <w:ind w:firstLine="480"/>
        <w:rPr>
          <w:rFonts w:ascii="宋体" w:hAnsi="宋体"/>
          <w:lang w:val="en-US"/>
        </w:rPr>
      </w:pPr>
      <w:r>
        <w:rPr>
          <w:rFonts w:hint="eastAsia" w:ascii="宋体" w:hAnsi="宋体"/>
          <w:lang w:val="en-US"/>
        </w:rPr>
        <w:t>标记和强制访问控制应确保用户或进程对移动终端系统资源的最小使用权限;应根据安全策略，控制移动终端接入访问外设，外设类型至少应包括扩展存储卡、GPS等定位设备、蓝牙、NFC等通信外设，并记录日志；</w:t>
      </w:r>
    </w:p>
    <w:p w14:paraId="5AE2C33A">
      <w:pPr>
        <w:pStyle w:val="3"/>
        <w:numPr>
          <w:ilvl w:val="0"/>
          <w:numId w:val="7"/>
        </w:numPr>
        <w:ind w:firstLine="480"/>
        <w:rPr>
          <w:rFonts w:ascii="宋体" w:hAnsi="宋体"/>
          <w:lang w:val="en-US"/>
        </w:rPr>
      </w:pPr>
      <w:r>
        <w:rPr>
          <w:rFonts w:hint="eastAsia" w:ascii="宋体" w:hAnsi="宋体"/>
          <w:lang w:val="en-US"/>
        </w:rPr>
        <w:t>应用管控应具有软件白名单功能，能根据白名单控制应用软件安装、运行;应提供应用程序签名认证机制，拒绝未经过认证签名的应用软件安装和执行；</w:t>
      </w:r>
    </w:p>
    <w:p w14:paraId="3C5F01E3">
      <w:pPr>
        <w:pStyle w:val="3"/>
        <w:numPr>
          <w:ilvl w:val="0"/>
          <w:numId w:val="7"/>
        </w:numPr>
        <w:ind w:firstLine="480"/>
        <w:rPr>
          <w:rFonts w:ascii="宋体" w:hAnsi="宋体"/>
          <w:lang w:val="en-US"/>
        </w:rPr>
      </w:pPr>
      <w:r>
        <w:rPr>
          <w:rFonts w:hint="eastAsia" w:ascii="宋体" w:hAnsi="宋体"/>
          <w:lang w:val="en-US"/>
        </w:rPr>
        <w:t>数据保密性保护应采取加密、混淆等措施，对移动应用程序进行保密性保护，防止被反编译;应实现对扩展存储设备的加密功能，确保数据存储的安全。</w:t>
      </w:r>
    </w:p>
    <w:p w14:paraId="69E9CD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F6A98"/>
    <w:multiLevelType w:val="singleLevel"/>
    <w:tmpl w:val="962F6A98"/>
    <w:lvl w:ilvl="0" w:tentative="0">
      <w:start w:val="1"/>
      <w:numFmt w:val="decimal"/>
      <w:suff w:val="nothing"/>
      <w:lvlText w:val="%1）"/>
      <w:lvlJc w:val="left"/>
    </w:lvl>
  </w:abstractNum>
  <w:abstractNum w:abstractNumId="1">
    <w:nsid w:val="A3DBAFF8"/>
    <w:multiLevelType w:val="singleLevel"/>
    <w:tmpl w:val="A3DBAFF8"/>
    <w:lvl w:ilvl="0" w:tentative="0">
      <w:start w:val="1"/>
      <w:numFmt w:val="decimal"/>
      <w:lvlText w:val="%1."/>
      <w:lvlJc w:val="left"/>
      <w:pPr>
        <w:ind w:left="425" w:hanging="425"/>
      </w:pPr>
      <w:rPr>
        <w:rFonts w:hint="default"/>
      </w:rPr>
    </w:lvl>
  </w:abstractNum>
  <w:abstractNum w:abstractNumId="2">
    <w:nsid w:val="C307E301"/>
    <w:multiLevelType w:val="singleLevel"/>
    <w:tmpl w:val="C307E301"/>
    <w:lvl w:ilvl="0" w:tentative="0">
      <w:start w:val="1"/>
      <w:numFmt w:val="decimal"/>
      <w:suff w:val="nothing"/>
      <w:lvlText w:val="%1）"/>
      <w:lvlJc w:val="left"/>
    </w:lvl>
  </w:abstractNum>
  <w:abstractNum w:abstractNumId="3">
    <w:nsid w:val="F370831B"/>
    <w:multiLevelType w:val="singleLevel"/>
    <w:tmpl w:val="F370831B"/>
    <w:lvl w:ilvl="0" w:tentative="0">
      <w:start w:val="1"/>
      <w:numFmt w:val="chineseCounting"/>
      <w:suff w:val="nothing"/>
      <w:lvlText w:val="%1、"/>
      <w:lvlJc w:val="left"/>
      <w:pPr>
        <w:ind w:left="0" w:firstLine="420"/>
      </w:pPr>
      <w:rPr>
        <w:rFonts w:hint="eastAsia"/>
      </w:rPr>
    </w:lvl>
  </w:abstractNum>
  <w:abstractNum w:abstractNumId="4">
    <w:nsid w:val="00000007"/>
    <w:multiLevelType w:val="multilevel"/>
    <w:tmpl w:val="00000007"/>
    <w:lvl w:ilvl="0" w:tentative="0">
      <w:start w:val="1"/>
      <w:numFmt w:val="decimal"/>
      <w:lvlText w:val="（%1）"/>
      <w:lvlJc w:val="left"/>
      <w:pPr>
        <w:ind w:left="900" w:hanging="420"/>
      </w:pPr>
      <w:rPr>
        <w:rFonts w:hint="default" w:ascii="Times New Roman" w:hAnsi="Times New Roman" w:eastAsia="宋体"/>
        <w:b w:val="0"/>
        <w:i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1D"/>
    <w:multiLevelType w:val="multilevel"/>
    <w:tmpl w:val="0000001D"/>
    <w:lvl w:ilvl="0" w:tentative="0">
      <w:start w:val="1"/>
      <w:numFmt w:val="chineseCountingThousand"/>
      <w:suff w:val="space"/>
      <w:lvlText w:val="第%1章"/>
      <w:lvlJc w:val="left"/>
      <w:pPr>
        <w:ind w:left="432" w:hanging="432"/>
      </w:pPr>
      <w:rPr>
        <w:rFonts w:hint="eastAsia"/>
      </w:rPr>
    </w:lvl>
    <w:lvl w:ilvl="1" w:tentative="0">
      <w:start w:val="1"/>
      <w:numFmt w:val="decimal"/>
      <w:isLgl/>
      <w:suff w:val="space"/>
      <w:lvlText w:val="%1.%2"/>
      <w:lvlJc w:val="left"/>
      <w:pPr>
        <w:ind w:left="576" w:hanging="576"/>
      </w:pPr>
      <w:rPr>
        <w:rFonts w:hint="eastAsia"/>
        <w:lang w:val="zh-CN"/>
      </w:rPr>
    </w:lvl>
    <w:lvl w:ilvl="2" w:tentative="0">
      <w:start w:val="1"/>
      <w:numFmt w:val="decimal"/>
      <w:pStyle w:val="2"/>
      <w:isLgl/>
      <w:suff w:val="space"/>
      <w:lvlText w:val="%1.%2.%3"/>
      <w:lvlJc w:val="left"/>
      <w:pPr>
        <w:ind w:left="737" w:hanging="737"/>
      </w:pPr>
      <w:rPr>
        <w:rFonts w:hint="default" w:ascii="Arial" w:hAnsi="Arial" w:eastAsia="黑体"/>
        <w:b/>
        <w:i w:val="0"/>
        <w:lang w:val="en-US"/>
      </w:rPr>
    </w:lvl>
    <w:lvl w:ilvl="3" w:tentative="0">
      <w:start w:val="1"/>
      <w:numFmt w:val="decimal"/>
      <w:pStyle w:val="4"/>
      <w:isLgl/>
      <w:suff w:val="space"/>
      <w:lvlText w:val="%1.%2.%3.%4"/>
      <w:lvlJc w:val="left"/>
      <w:pPr>
        <w:ind w:left="864" w:hanging="864"/>
      </w:pPr>
      <w:rPr>
        <w:rFonts w:hint="eastAsia"/>
      </w:rPr>
    </w:lvl>
    <w:lvl w:ilvl="4" w:tentative="0">
      <w:start w:val="1"/>
      <w:numFmt w:val="decimal"/>
      <w:pStyle w:val="5"/>
      <w:isLgl/>
      <w:suff w:val="space"/>
      <w:lvlText w:val="%1.%2.%3.%4.%5"/>
      <w:lvlJc w:val="left"/>
      <w:pPr>
        <w:ind w:left="1008" w:hanging="1008"/>
      </w:pPr>
      <w:rPr>
        <w:rFonts w:hint="default" w:ascii="Arial" w:hAnsi="Arial" w:eastAsia="黑体" w:cs="Times New Roman"/>
        <w:b/>
        <w:bCs w:val="0"/>
        <w:i w:val="0"/>
        <w:iCs w:val="0"/>
        <w:caps w:val="0"/>
        <w:smallCaps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isLgl/>
      <w:suff w:val="space"/>
      <w:lvlText w:val="%1.%2.%3.%4.%5.%6"/>
      <w:lvlJc w:val="left"/>
      <w:pPr>
        <w:ind w:left="1152" w:hanging="1152"/>
      </w:pPr>
      <w:rPr>
        <w:rFonts w:hint="eastAsia"/>
      </w:rPr>
    </w:lvl>
    <w:lvl w:ilvl="6" w:tentative="0">
      <w:start w:val="1"/>
      <w:numFmt w:val="decimal"/>
      <w:isLgl/>
      <w:suff w:val="space"/>
      <w:lvlText w:val="%1.%2.%3.%4.%5.%6.%7"/>
      <w:lvlJc w:val="left"/>
      <w:pPr>
        <w:ind w:left="1296" w:hanging="1296"/>
      </w:pPr>
      <w:rPr>
        <w:rFonts w:hint="eastAsia"/>
      </w:rPr>
    </w:lvl>
    <w:lvl w:ilvl="7" w:tentative="0">
      <w:start w:val="1"/>
      <w:numFmt w:val="decimal"/>
      <w:isLgl/>
      <w:suff w:val="space"/>
      <w:lvlText w:val="%1.%2.%3.%4.%5.%6.%7.%8"/>
      <w:lvlJc w:val="left"/>
      <w:pPr>
        <w:ind w:left="1440" w:hanging="1440"/>
      </w:pPr>
      <w:rPr>
        <w:rFonts w:hint="eastAsia"/>
      </w:rPr>
    </w:lvl>
    <w:lvl w:ilvl="8" w:tentative="0">
      <w:start w:val="1"/>
      <w:numFmt w:val="decimal"/>
      <w:isLgl/>
      <w:suff w:val="space"/>
      <w:lvlText w:val="%1.%2.%3.%4.%5.%6.%7.%8.%9"/>
      <w:lvlJc w:val="left"/>
      <w:pPr>
        <w:ind w:left="1584" w:hanging="1584"/>
      </w:pPr>
      <w:rPr>
        <w:rFonts w:hint="eastAsia"/>
      </w:rPr>
    </w:lvl>
  </w:abstractNum>
  <w:abstractNum w:abstractNumId="6">
    <w:nsid w:val="0582DEBA"/>
    <w:multiLevelType w:val="singleLevel"/>
    <w:tmpl w:val="0582DEBA"/>
    <w:lvl w:ilvl="0" w:tentative="0">
      <w:start w:val="1"/>
      <w:numFmt w:val="decimal"/>
      <w:lvlText w:val="%1."/>
      <w:lvlJc w:val="left"/>
      <w:pPr>
        <w:ind w:left="425" w:hanging="425"/>
      </w:pPr>
      <w:rPr>
        <w:rFonts w:hint="default"/>
      </w:r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20B65"/>
    <w:rsid w:val="1A34568A"/>
    <w:rsid w:val="1D2A56E8"/>
    <w:rsid w:val="5A02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3"/>
    <w:basedOn w:val="1"/>
    <w:next w:val="3"/>
    <w:qFormat/>
    <w:uiPriority w:val="0"/>
    <w:pPr>
      <w:keepNext/>
      <w:keepLines/>
      <w:widowControl/>
      <w:numPr>
        <w:ilvl w:val="2"/>
        <w:numId w:val="1"/>
      </w:numPr>
      <w:tabs>
        <w:tab w:val="left" w:pos="709"/>
      </w:tabs>
      <w:spacing w:before="240" w:after="120"/>
      <w:jc w:val="left"/>
      <w:outlineLvl w:val="2"/>
    </w:pPr>
    <w:rPr>
      <w:rFonts w:ascii="Arial" w:hAnsi="Arial" w:eastAsia="黑体" w:cs="Times New Roman"/>
      <w:b/>
      <w:bCs/>
      <w:sz w:val="28"/>
      <w:szCs w:val="32"/>
      <w:lang w:val="zh-CN"/>
    </w:rPr>
  </w:style>
  <w:style w:type="paragraph" w:styleId="4">
    <w:name w:val="heading 4"/>
    <w:basedOn w:val="1"/>
    <w:next w:val="1"/>
    <w:qFormat/>
    <w:uiPriority w:val="0"/>
    <w:pPr>
      <w:keepNext/>
      <w:keepLines/>
      <w:widowControl/>
      <w:numPr>
        <w:ilvl w:val="3"/>
        <w:numId w:val="1"/>
      </w:numPr>
      <w:spacing w:before="240" w:after="120"/>
      <w:jc w:val="left"/>
      <w:outlineLvl w:val="3"/>
    </w:pPr>
    <w:rPr>
      <w:rFonts w:ascii="Arial" w:hAnsi="Arial" w:eastAsia="黑体" w:cs="Times New Roman"/>
      <w:b/>
      <w:bCs/>
      <w:sz w:val="24"/>
      <w:szCs w:val="28"/>
      <w:lang w:val="zh-CN"/>
    </w:rPr>
  </w:style>
  <w:style w:type="paragraph" w:styleId="5">
    <w:name w:val="heading 5"/>
    <w:basedOn w:val="1"/>
    <w:next w:val="1"/>
    <w:qFormat/>
    <w:uiPriority w:val="0"/>
    <w:pPr>
      <w:keepNext/>
      <w:keepLines/>
      <w:widowControl/>
      <w:numPr>
        <w:ilvl w:val="4"/>
        <w:numId w:val="1"/>
      </w:numPr>
      <w:tabs>
        <w:tab w:val="left" w:pos="1008"/>
      </w:tabs>
      <w:spacing w:before="240" w:line="377" w:lineRule="auto"/>
      <w:jc w:val="left"/>
      <w:outlineLvl w:val="4"/>
    </w:pPr>
    <w:rPr>
      <w:rFonts w:ascii="Arial" w:hAnsi="Arial" w:eastAsia="黑体" w:cs="Times New Roman"/>
      <w:b/>
      <w:bCs/>
      <w:kern w:val="0"/>
      <w:sz w:val="24"/>
      <w:szCs w:val="28"/>
      <w:lang w:val="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3">
    <w:name w:val="0段落文字"/>
    <w:basedOn w:val="1"/>
    <w:qFormat/>
    <w:uiPriority w:val="0"/>
    <w:pPr>
      <w:spacing w:line="360" w:lineRule="auto"/>
      <w:ind w:firstLine="200" w:firstLineChars="200"/>
    </w:pPr>
    <w:rPr>
      <w:rFonts w:ascii="Times New Roman" w:hAnsi="Times New Roman"/>
      <w:sz w:val="24"/>
      <w:lang w:val="zh-CN"/>
    </w:rPr>
  </w:style>
  <w:style w:type="paragraph" w:customStyle="1" w:styleId="8">
    <w:name w:val="正文内容"/>
    <w:basedOn w:val="1"/>
    <w:qFormat/>
    <w:uiPriority w:val="0"/>
    <w:pPr>
      <w:spacing w:line="360" w:lineRule="auto"/>
      <w:ind w:firstLine="200" w:firstLineChars="200"/>
    </w:pPr>
    <w:rPr>
      <w:rFonts w:ascii="Times New Roman" w:hAnsi="Times New Roman"/>
      <w:sz w:val="24"/>
      <w:lang w:val="zh-CN"/>
    </w:rPr>
  </w:style>
  <w:style w:type="paragraph" w:customStyle="1" w:styleId="9">
    <w:name w:val="0表头样式"/>
    <w:basedOn w:val="10"/>
    <w:qFormat/>
    <w:uiPriority w:val="0"/>
    <w:pPr>
      <w:jc w:val="center"/>
    </w:pPr>
    <w:rPr>
      <w:b/>
    </w:rPr>
  </w:style>
  <w:style w:type="paragraph" w:customStyle="1" w:styleId="10">
    <w:name w:val="0表格样式"/>
    <w:basedOn w:val="1"/>
    <w:qFormat/>
    <w:uiPriority w:val="0"/>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2025-05-22T00:59:00Z</dcterms:created>
  <dc:creator>LZ</dc:creator>
  <cp:lastModifiedBy>LZ</cp:lastModifiedBy>
  <dcterms:modified xsi:type="dcterms:W3CDTF">2025-05-22T02:40:46Z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4FDE6C59401C49E6B2A3FC003F46F089_13</vt:lpwstr>
  </property>
  <property fmtid="{D5CDD505-2E9C-101B-9397-08002B2CF9AE}" pid="4" name="KSOTemplateDocerSaveRecord">
    <vt:lpwstr>eyJoZGlkIjoiMjkzOGU3ZTRlZjNiNDUzMDAwOWQwM2NhNmRiMTk0YzMiLCJ1c2VySWQiOiIzOTE4MzAyMjQifQ==</vt:lpwstr>
  </property>
</Properties>
</file>